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3253" w14:textId="77777777" w:rsidR="00410739" w:rsidRPr="00DA0337" w:rsidRDefault="00410739" w:rsidP="0014740C">
      <w:bookmarkStart w:id="0" w:name="_GoBack"/>
      <w:bookmarkEnd w:id="0"/>
    </w:p>
    <w:p w14:paraId="551947A2" w14:textId="77777777" w:rsidR="00410739" w:rsidRPr="00DA0337" w:rsidRDefault="00410739" w:rsidP="0014740C">
      <w:pPr>
        <w:pStyle w:val="Heading1"/>
        <w:rPr>
          <w:b/>
          <w:color w:val="15284B"/>
        </w:rPr>
      </w:pPr>
      <w:r w:rsidRPr="00DA0337">
        <w:rPr>
          <w:b/>
          <w:color w:val="15284B"/>
        </w:rPr>
        <w:t>Prevent</w:t>
      </w:r>
    </w:p>
    <w:p w14:paraId="45DDF582" w14:textId="77777777" w:rsidR="00410739" w:rsidRPr="00DA0337" w:rsidRDefault="009F5C21" w:rsidP="0014740C">
      <w:pPr>
        <w:pStyle w:val="Heading2"/>
        <w:spacing w:before="120"/>
        <w:rPr>
          <w:color w:val="4A7628"/>
        </w:rPr>
      </w:pPr>
      <w:r w:rsidRPr="00DA0337">
        <w:rPr>
          <w:color w:val="4A7628"/>
        </w:rPr>
        <w:t xml:space="preserve">Norfolk </w:t>
      </w:r>
      <w:r w:rsidR="00141C91" w:rsidRPr="00DA0337">
        <w:rPr>
          <w:color w:val="4A7628"/>
        </w:rPr>
        <w:t>Practitioners</w:t>
      </w:r>
      <w:r w:rsidR="008C48A2" w:rsidRPr="00DA0337">
        <w:rPr>
          <w:color w:val="4A7628"/>
        </w:rPr>
        <w:t>’</w:t>
      </w:r>
      <w:r w:rsidR="00141C91" w:rsidRPr="00DA0337">
        <w:rPr>
          <w:color w:val="4A7628"/>
        </w:rPr>
        <w:t xml:space="preserve"> Quick Guide</w:t>
      </w:r>
      <w:r w:rsidR="00410739" w:rsidRPr="00DA0337">
        <w:rPr>
          <w:color w:val="4A7628"/>
        </w:rPr>
        <w:t>:</w:t>
      </w:r>
    </w:p>
    <w:p w14:paraId="6F204607" w14:textId="77777777" w:rsidR="00410739" w:rsidRPr="00DA0337" w:rsidRDefault="008C48A2" w:rsidP="0014740C">
      <w:pPr>
        <w:pStyle w:val="Heading2"/>
        <w:rPr>
          <w:color w:val="4A7628"/>
        </w:rPr>
      </w:pPr>
      <w:r w:rsidRPr="00DA0337">
        <w:rPr>
          <w:color w:val="4A7628"/>
        </w:rPr>
        <w:t>s</w:t>
      </w:r>
      <w:r w:rsidR="00410739" w:rsidRPr="00DA0337">
        <w:rPr>
          <w:color w:val="4A7628"/>
        </w:rPr>
        <w:t>afeguarding individuals Vulnerable to Radicalisation</w:t>
      </w:r>
    </w:p>
    <w:p w14:paraId="442B7786" w14:textId="77777777" w:rsidR="00410739" w:rsidRPr="00DA0337" w:rsidRDefault="00410739" w:rsidP="0014740C">
      <w:pPr>
        <w:pStyle w:val="Heading2"/>
        <w:rPr>
          <w:color w:val="4A7628"/>
        </w:rPr>
      </w:pPr>
      <w:r w:rsidRPr="00DA0337">
        <w:rPr>
          <w:color w:val="4A7628"/>
        </w:rPr>
        <w:t>(VTR)</w:t>
      </w:r>
    </w:p>
    <w:p w14:paraId="5295289E" w14:textId="77777777" w:rsidR="00410739" w:rsidRPr="00DA0337" w:rsidRDefault="00410739" w:rsidP="0014740C">
      <w:pPr>
        <w:pStyle w:val="Heading2"/>
        <w:rPr>
          <w:color w:val="4A7628"/>
        </w:rPr>
      </w:pPr>
      <w:r w:rsidRPr="00DA0337">
        <w:rPr>
          <w:color w:val="4A7628"/>
        </w:rPr>
        <w:t>and referral process</w:t>
      </w:r>
    </w:p>
    <w:p w14:paraId="3F44268A" w14:textId="77777777" w:rsidR="00B5093F" w:rsidRDefault="00B5093F" w:rsidP="0014740C"/>
    <w:p w14:paraId="3487609D" w14:textId="77777777" w:rsidR="00723E2C" w:rsidRDefault="00723E2C" w:rsidP="0014740C"/>
    <w:p w14:paraId="489230C4" w14:textId="77777777" w:rsidR="00141C91" w:rsidRPr="00A8086B" w:rsidRDefault="00141C91" w:rsidP="0014740C">
      <w:pPr>
        <w:rPr>
          <w:i/>
        </w:rPr>
      </w:pPr>
      <w:r w:rsidRPr="00A8086B">
        <w:rPr>
          <w:i/>
        </w:rPr>
        <w:t xml:space="preserve">This </w:t>
      </w:r>
      <w:r w:rsidR="008C48A2">
        <w:rPr>
          <w:i/>
        </w:rPr>
        <w:t>document</w:t>
      </w:r>
      <w:r w:rsidRPr="00A8086B">
        <w:rPr>
          <w:i/>
        </w:rPr>
        <w:t xml:space="preserve"> provides practitioners with guidance re concerns in relation to any child, young person or adult who may be at risk of being adversely influenced or radicalised by any extremist group or ideology.</w:t>
      </w:r>
    </w:p>
    <w:p w14:paraId="2B659EDA" w14:textId="77777777" w:rsidR="00141C91" w:rsidRDefault="00141C91" w:rsidP="0014740C"/>
    <w:p w14:paraId="748BEE41" w14:textId="77777777" w:rsidR="007F2EEF" w:rsidRPr="00CC10DA" w:rsidRDefault="007F2EEF" w:rsidP="0014740C">
      <w:r w:rsidRPr="00CC10DA">
        <w:rPr>
          <w:noProof/>
        </w:rPr>
        <mc:AlternateContent>
          <mc:Choice Requires="wps">
            <w:drawing>
              <wp:anchor distT="0" distB="0" distL="114300" distR="114300" simplePos="0" relativeHeight="251661312" behindDoc="0" locked="0" layoutInCell="0" allowOverlap="1" wp14:anchorId="3EC7B0ED" wp14:editId="061E5EB8">
                <wp:simplePos x="0" y="0"/>
                <wp:positionH relativeFrom="margin">
                  <wp:posOffset>-86995</wp:posOffset>
                </wp:positionH>
                <wp:positionV relativeFrom="paragraph">
                  <wp:posOffset>195580</wp:posOffset>
                </wp:positionV>
                <wp:extent cx="6286500" cy="1078230"/>
                <wp:effectExtent l="19050" t="19050" r="19050" b="26670"/>
                <wp:wrapSquare wrapText="bothSides"/>
                <wp:docPr id="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8230"/>
                        </a:xfrm>
                        <a:prstGeom prst="rect">
                          <a:avLst/>
                        </a:prstGeom>
                        <a:noFill/>
                        <a:ln w="38100">
                          <a:solidFill>
                            <a:schemeClr val="accent1"/>
                          </a:solidFill>
                          <a:miter lim="800000"/>
                          <a:headEnd/>
                          <a:tailEnd/>
                        </a:ln>
                        <a:extLst>
                          <a:ext uri="{909E8E84-426E-40DD-AFC4-6F175D3DCCD1}">
                            <a14:hiddenFill xmlns:a14="http://schemas.microsoft.com/office/drawing/2010/main">
                              <a:solidFill>
                                <a:srgbClr val="99CCFF"/>
                              </a:solidFill>
                            </a14:hiddenFill>
                          </a:ext>
                        </a:extLst>
                      </wps:spPr>
                      <wps:txbx>
                        <w:txbxContent>
                          <w:p w14:paraId="699413D9" w14:textId="77777777" w:rsidR="008C48A2" w:rsidRDefault="00141C91" w:rsidP="00CC10DA">
                            <w:pPr>
                              <w:spacing w:before="120" w:after="120"/>
                              <w:jc w:val="both"/>
                            </w:pPr>
                            <w:r w:rsidRPr="008C48A2">
                              <w:t xml:space="preserve">The purpose of the PREVENT Strategy is to stop people becoming terrorists or supporting violent extremism in all its forms. </w:t>
                            </w:r>
                          </w:p>
                          <w:p w14:paraId="70CA6B95" w14:textId="77777777" w:rsidR="00141C91" w:rsidRPr="008C48A2" w:rsidRDefault="00141C91" w:rsidP="00CC10DA">
                            <w:pPr>
                              <w:spacing w:before="120" w:after="120"/>
                              <w:jc w:val="both"/>
                            </w:pPr>
                            <w:r w:rsidRPr="008C48A2">
                              <w:t>The strategy has three objectives, one of which is to prevent people from being drawn into extremism and ensure they are given appropriate advice and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7B0ED" id="_x0000_t202" coordsize="21600,21600" o:spt="202" path="m,l,21600r21600,l21600,xe">
                <v:stroke joinstyle="miter"/>
                <v:path gradientshapeok="t" o:connecttype="rect"/>
              </v:shapetype>
              <v:shape id="Text Box 5" o:spid="_x0000_s1026" type="#_x0000_t202" style="position:absolute;margin-left:-6.85pt;margin-top:15.4pt;width:495pt;height:8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" o:allowincell="f" filled="f" fillcolor="#9cf" strokecolor="#4a7628 [3204]" strokeweight="3pt">
                <v:textbox>
                  <w:txbxContent>
                    <w:p w14:paraId="699413D9" w14:textId="77777777" w:rsidR="008C48A2" w:rsidRDefault="00141C91" w:rsidP="00CC10DA">
                      <w:pPr>
                        <w:spacing w:before="120" w:after="120"/>
                        <w:jc w:val="both"/>
                      </w:pPr>
                      <w:r w:rsidRPr="008C48A2">
                        <w:t xml:space="preserve">The purpose of the PREVENT Strategy is to stop people becoming terrorists or supporting violent extremism in all its forms. </w:t>
                      </w:r>
                    </w:p>
                    <w:p w14:paraId="70CA6B95" w14:textId="77777777" w:rsidR="00141C91" w:rsidRPr="008C48A2" w:rsidRDefault="00141C91" w:rsidP="00CC10DA">
                      <w:pPr>
                        <w:spacing w:before="120" w:after="120"/>
                        <w:jc w:val="both"/>
                      </w:pPr>
                      <w:r w:rsidRPr="008C48A2">
                        <w:t>The strategy has three objectives, one of which is to prevent people from being drawn into extremism and ensure they are given appropriate advice and support.</w:t>
                      </w:r>
                    </w:p>
                  </w:txbxContent>
                </v:textbox>
                <w10:wrap type="square" anchorx="margin"/>
              </v:shape>
            </w:pict>
          </mc:Fallback>
        </mc:AlternateContent>
      </w:r>
    </w:p>
    <w:p w14:paraId="37402462" w14:textId="77777777" w:rsidR="00141C91" w:rsidRDefault="00141C91" w:rsidP="0014740C"/>
    <w:p w14:paraId="32C08551" w14:textId="77777777" w:rsidR="007F2EEF" w:rsidRPr="00CC10DA" w:rsidRDefault="007F2EEF" w:rsidP="0014740C"/>
    <w:p w14:paraId="1EC7335E" w14:textId="77777777" w:rsidR="008358A9" w:rsidRPr="007F2EEF" w:rsidRDefault="008358A9" w:rsidP="0014740C">
      <w:pPr>
        <w:pStyle w:val="Heading2"/>
        <w:rPr>
          <w:color w:val="4A7628"/>
        </w:rPr>
      </w:pPr>
      <w:r w:rsidRPr="007F2EEF">
        <w:rPr>
          <w:color w:val="4A7628"/>
        </w:rPr>
        <w:t>Contents</w:t>
      </w:r>
    </w:p>
    <w:p w14:paraId="5B0A66CD" w14:textId="77777777" w:rsidR="008C48A2" w:rsidRPr="008C48A2" w:rsidRDefault="008C48A2" w:rsidP="0014740C"/>
    <w:p w14:paraId="3916B584" w14:textId="77777777" w:rsidR="004032B7" w:rsidRPr="008358A9" w:rsidRDefault="004032B7" w:rsidP="0014740C">
      <w:pPr>
        <w:pStyle w:val="Numbering"/>
        <w:numPr>
          <w:ilvl w:val="0"/>
          <w:numId w:val="15"/>
        </w:numPr>
        <w:ind w:left="425" w:hanging="425"/>
      </w:pPr>
      <w:r w:rsidRPr="008358A9">
        <w:t>Identification</w:t>
      </w:r>
    </w:p>
    <w:p w14:paraId="373E6A23" w14:textId="77777777" w:rsidR="008C48A2" w:rsidRDefault="004032B7" w:rsidP="0014740C">
      <w:pPr>
        <w:pStyle w:val="Numbering"/>
        <w:numPr>
          <w:ilvl w:val="0"/>
          <w:numId w:val="15"/>
        </w:numPr>
        <w:ind w:left="425" w:hanging="425"/>
      </w:pPr>
      <w:r w:rsidRPr="008358A9">
        <w:t xml:space="preserve">Notice </w:t>
      </w:r>
      <w:r w:rsidR="0014740C">
        <w:t>–</w:t>
      </w:r>
      <w:r w:rsidR="008C48A2">
        <w:t xml:space="preserve"> </w:t>
      </w:r>
      <w:r w:rsidRPr="008358A9">
        <w:t xml:space="preserve">Check </w:t>
      </w:r>
      <w:r w:rsidR="0014740C">
        <w:t>–</w:t>
      </w:r>
      <w:r w:rsidR="008C48A2">
        <w:t xml:space="preserve"> </w:t>
      </w:r>
      <w:r w:rsidRPr="008358A9">
        <w:t>Share</w:t>
      </w:r>
    </w:p>
    <w:p w14:paraId="707A8ABE" w14:textId="77777777" w:rsidR="008358A9" w:rsidRDefault="008C48A2" w:rsidP="0014740C">
      <w:pPr>
        <w:pStyle w:val="Numbering"/>
        <w:numPr>
          <w:ilvl w:val="0"/>
          <w:numId w:val="15"/>
        </w:numPr>
        <w:ind w:left="425" w:hanging="425"/>
      </w:pPr>
      <w:r>
        <w:t>The Referral Process</w:t>
      </w:r>
    </w:p>
    <w:p w14:paraId="2829868C" w14:textId="77777777" w:rsidR="008358A9" w:rsidRDefault="008358A9" w:rsidP="0014740C">
      <w:pPr>
        <w:pStyle w:val="Numbering"/>
        <w:numPr>
          <w:ilvl w:val="0"/>
          <w:numId w:val="15"/>
        </w:numPr>
        <w:ind w:left="425" w:hanging="425"/>
      </w:pPr>
      <w:r w:rsidRPr="008358A9">
        <w:t>Channel Panel</w:t>
      </w:r>
    </w:p>
    <w:p w14:paraId="5C1B7582" w14:textId="77777777" w:rsidR="008358A9" w:rsidRDefault="008358A9" w:rsidP="0014740C">
      <w:pPr>
        <w:pStyle w:val="Numbering"/>
        <w:numPr>
          <w:ilvl w:val="0"/>
          <w:numId w:val="15"/>
        </w:numPr>
        <w:ind w:left="425" w:hanging="425"/>
      </w:pPr>
      <w:r w:rsidRPr="008358A9">
        <w:t>Sharing Information</w:t>
      </w:r>
    </w:p>
    <w:p w14:paraId="2477F576" w14:textId="121AD26F" w:rsidR="008358A9" w:rsidRDefault="008358A9" w:rsidP="0014740C">
      <w:pPr>
        <w:pStyle w:val="Numbering"/>
        <w:numPr>
          <w:ilvl w:val="0"/>
          <w:numId w:val="15"/>
        </w:numPr>
        <w:ind w:left="425" w:hanging="425"/>
      </w:pPr>
      <w:r w:rsidRPr="008358A9">
        <w:t>Contact Information</w:t>
      </w:r>
    </w:p>
    <w:p w14:paraId="291085A9" w14:textId="77777777" w:rsidR="00141C91" w:rsidRPr="007F2EEF" w:rsidRDefault="00141C91" w:rsidP="0014740C"/>
    <w:p w14:paraId="79E47D68" w14:textId="77777777" w:rsidR="008C48A2" w:rsidRPr="008C48A2" w:rsidRDefault="008C48A2" w:rsidP="0014740C"/>
    <w:p w14:paraId="4DABF6E4" w14:textId="77777777" w:rsidR="00141C91" w:rsidRPr="007F2EEF" w:rsidRDefault="00141C91" w:rsidP="0014740C">
      <w:pPr>
        <w:pStyle w:val="Heading2"/>
        <w:numPr>
          <w:ilvl w:val="0"/>
          <w:numId w:val="16"/>
        </w:numPr>
        <w:ind w:left="426" w:hanging="426"/>
        <w:rPr>
          <w:color w:val="4A7628"/>
        </w:rPr>
      </w:pPr>
      <w:r w:rsidRPr="007F2EEF">
        <w:rPr>
          <w:color w:val="4A7628"/>
        </w:rPr>
        <w:t>Identification</w:t>
      </w:r>
    </w:p>
    <w:p w14:paraId="592B6942" w14:textId="77777777" w:rsidR="00141C91" w:rsidRDefault="00141C91" w:rsidP="0014740C">
      <w:pPr>
        <w:ind w:left="426"/>
      </w:pPr>
    </w:p>
    <w:p w14:paraId="71720069" w14:textId="77777777" w:rsidR="00141C91" w:rsidRDefault="00141C91" w:rsidP="0014740C">
      <w:pPr>
        <w:ind w:left="426"/>
      </w:pPr>
      <w:r w:rsidRPr="00F710AF">
        <w:t xml:space="preserve">Here are examples </w:t>
      </w:r>
      <w:r>
        <w:t xml:space="preserve">of indicators that </w:t>
      </w:r>
      <w:r>
        <w:rPr>
          <w:i/>
        </w:rPr>
        <w:t xml:space="preserve">may </w:t>
      </w:r>
      <w:r>
        <w:t>suggest vulnerability to violent extremism:</w:t>
      </w:r>
      <w:r w:rsidR="00CC10DA">
        <w:br/>
      </w:r>
    </w:p>
    <w:p w14:paraId="3D86AA84" w14:textId="070F170C" w:rsidR="00141C91" w:rsidRDefault="00141C91" w:rsidP="0014740C">
      <w:pPr>
        <w:pStyle w:val="Bullets"/>
        <w:ind w:left="852" w:hanging="426"/>
      </w:pPr>
      <w:r w:rsidRPr="00F46EA1">
        <w:rPr>
          <w:b/>
          <w:color w:val="4A7628"/>
        </w:rPr>
        <w:t>Expressed opinions</w:t>
      </w:r>
      <w:r w:rsidRPr="00F46EA1">
        <w:rPr>
          <w:color w:val="4A7628"/>
        </w:rPr>
        <w:t xml:space="preserve"> </w:t>
      </w:r>
      <w:r>
        <w:t>– such as support for violence and terrorism or the values of extremist organisations, airing of political or religious based grievances, unaccepting of other nationalities, religions or cultures.</w:t>
      </w:r>
      <w:r w:rsidR="00A00B1A">
        <w:br/>
      </w:r>
    </w:p>
    <w:p w14:paraId="724852DB" w14:textId="77777777" w:rsidR="00141C91" w:rsidRDefault="00141C91" w:rsidP="0014740C">
      <w:pPr>
        <w:pStyle w:val="Bullets"/>
        <w:ind w:left="852" w:hanging="426"/>
      </w:pPr>
      <w:r w:rsidRPr="00F46EA1">
        <w:rPr>
          <w:b/>
          <w:color w:val="4A7628"/>
        </w:rPr>
        <w:t xml:space="preserve">Material </w:t>
      </w:r>
      <w:r>
        <w:t>– possession of extremist literature; attempts to access extremist websites and associated password protected chat rooms; possession of material regarding weapons, explosives or military training.</w:t>
      </w:r>
    </w:p>
    <w:p w14:paraId="5B9F91A5" w14:textId="77777777" w:rsidR="007F2EEF" w:rsidRDefault="007F2EEF" w:rsidP="0014740C">
      <w:pPr>
        <w:spacing w:after="160" w:line="259" w:lineRule="auto"/>
        <w:rPr>
          <w:b/>
        </w:rPr>
      </w:pPr>
      <w:r>
        <w:rPr>
          <w:b/>
        </w:rPr>
        <w:br w:type="page"/>
      </w:r>
    </w:p>
    <w:p w14:paraId="13A34AF9" w14:textId="68F3CA6C" w:rsidR="00141C91" w:rsidRPr="007F2EEF" w:rsidRDefault="00141C91" w:rsidP="00A00B1A">
      <w:pPr>
        <w:pStyle w:val="Bullets"/>
        <w:spacing w:line="233" w:lineRule="auto"/>
        <w:ind w:left="852" w:hanging="426"/>
      </w:pPr>
      <w:r w:rsidRPr="00F46EA1">
        <w:rPr>
          <w:b/>
          <w:color w:val="4A7628"/>
        </w:rPr>
        <w:lastRenderedPageBreak/>
        <w:t xml:space="preserve">Behaviour and behavioural changes </w:t>
      </w:r>
      <w:r>
        <w:t>– such as withdrawal from family and peers; hostility towards former associates and fami</w:t>
      </w:r>
      <w:r w:rsidR="008358A9">
        <w:t>ly; association with proscribed</w:t>
      </w:r>
      <w:r w:rsidR="00773DCA">
        <w:rPr>
          <w:rStyle w:val="FootnoteReference"/>
        </w:rPr>
        <w:footnoteReference w:id="1"/>
      </w:r>
      <w:r>
        <w:t xml:space="preserve"> organisations and those that hold extremist views</w:t>
      </w:r>
      <w:r w:rsidR="007F2EEF">
        <w:t>.</w:t>
      </w:r>
      <w:r w:rsidR="00A00B1A">
        <w:br/>
      </w:r>
    </w:p>
    <w:p w14:paraId="7A7FF8BD" w14:textId="77777777" w:rsidR="00141C91" w:rsidRDefault="00141C91" w:rsidP="00A00B1A">
      <w:pPr>
        <w:pStyle w:val="Bullets"/>
        <w:spacing w:line="233" w:lineRule="auto"/>
        <w:ind w:left="852" w:hanging="426"/>
      </w:pPr>
      <w:r w:rsidRPr="00F46EA1">
        <w:rPr>
          <w:b/>
          <w:color w:val="4A7628"/>
        </w:rPr>
        <w:t>Personal history</w:t>
      </w:r>
      <w:r w:rsidRPr="00F46EA1">
        <w:rPr>
          <w:color w:val="4A7628"/>
        </w:rPr>
        <w:t xml:space="preserve"> </w:t>
      </w:r>
      <w:r>
        <w:t>– Claims or evidence of involvement in organisations voicing violent extremist ideology and identifying with their cause.</w:t>
      </w:r>
    </w:p>
    <w:p w14:paraId="1A76530A" w14:textId="77777777" w:rsidR="00F03A5A" w:rsidRDefault="00F03A5A" w:rsidP="00A00B1A">
      <w:pPr>
        <w:spacing w:line="233" w:lineRule="auto"/>
        <w:ind w:left="426"/>
      </w:pPr>
    </w:p>
    <w:p w14:paraId="485C5B28" w14:textId="77777777" w:rsidR="00F46EA1" w:rsidRDefault="00F03A5A" w:rsidP="00A00B1A">
      <w:pPr>
        <w:spacing w:line="233" w:lineRule="auto"/>
        <w:ind w:left="426"/>
      </w:pPr>
      <w:r>
        <w:t>For a more comprehensive list of indicators please follow this link:</w:t>
      </w:r>
      <w:r w:rsidR="00F46EA1">
        <w:br/>
      </w:r>
    </w:p>
    <w:p w14:paraId="1A21F409" w14:textId="77777777" w:rsidR="00141C91" w:rsidRDefault="002D3BC5" w:rsidP="00A00B1A">
      <w:pPr>
        <w:pStyle w:val="Bullets"/>
        <w:spacing w:line="233" w:lineRule="auto"/>
        <w:ind w:left="852" w:hanging="426"/>
      </w:pPr>
      <w:hyperlink r:id="rId8" w:history="1">
        <w:r w:rsidR="00F03A5A" w:rsidRPr="000B2169">
          <w:rPr>
            <w:rStyle w:val="Hyperlink"/>
          </w:rPr>
          <w:t>https://www.ltai.info/spotting-the-signs/</w:t>
        </w:r>
      </w:hyperlink>
    </w:p>
    <w:p w14:paraId="239BC354" w14:textId="77777777" w:rsidR="00CC10DA" w:rsidRDefault="00CC10DA" w:rsidP="00A00B1A">
      <w:pPr>
        <w:spacing w:line="233" w:lineRule="auto"/>
      </w:pPr>
    </w:p>
    <w:p w14:paraId="29A140FD" w14:textId="77777777" w:rsidR="00FF6B5D" w:rsidRPr="007F2EEF" w:rsidRDefault="00FF6B5D" w:rsidP="00A00B1A">
      <w:pPr>
        <w:spacing w:line="233" w:lineRule="auto"/>
      </w:pPr>
    </w:p>
    <w:p w14:paraId="2A46EABA" w14:textId="2940D573" w:rsidR="008358A9" w:rsidRPr="007F2EEF" w:rsidRDefault="008358A9" w:rsidP="00A00B1A">
      <w:pPr>
        <w:pStyle w:val="Heading2"/>
        <w:numPr>
          <w:ilvl w:val="0"/>
          <w:numId w:val="16"/>
        </w:numPr>
        <w:spacing w:line="233" w:lineRule="auto"/>
        <w:ind w:left="426" w:hanging="426"/>
        <w:rPr>
          <w:color w:val="4A7628"/>
        </w:rPr>
      </w:pPr>
      <w:r w:rsidRPr="007F2EEF">
        <w:rPr>
          <w:color w:val="4A7628"/>
        </w:rPr>
        <w:t xml:space="preserve">Notice </w:t>
      </w:r>
      <w:r w:rsidR="0014740C">
        <w:rPr>
          <w:color w:val="4A7628"/>
        </w:rPr>
        <w:t>–</w:t>
      </w:r>
      <w:r w:rsidR="008C48A2" w:rsidRPr="007F2EEF">
        <w:rPr>
          <w:color w:val="4A7628"/>
        </w:rPr>
        <w:t xml:space="preserve"> </w:t>
      </w:r>
      <w:r w:rsidRPr="007F2EEF">
        <w:rPr>
          <w:color w:val="4A7628"/>
        </w:rPr>
        <w:t xml:space="preserve">Check </w:t>
      </w:r>
      <w:r w:rsidR="0014740C">
        <w:rPr>
          <w:color w:val="4A7628"/>
        </w:rPr>
        <w:t>–</w:t>
      </w:r>
      <w:r w:rsidR="008C48A2" w:rsidRPr="007F2EEF">
        <w:rPr>
          <w:color w:val="4A7628"/>
        </w:rPr>
        <w:t xml:space="preserve"> </w:t>
      </w:r>
      <w:r w:rsidRPr="007F2EEF">
        <w:rPr>
          <w:color w:val="4A7628"/>
        </w:rPr>
        <w:t>Share</w:t>
      </w:r>
    </w:p>
    <w:p w14:paraId="7DA7999D" w14:textId="77777777" w:rsidR="008358A9" w:rsidRPr="008358A9" w:rsidRDefault="008358A9" w:rsidP="00A00B1A">
      <w:pPr>
        <w:spacing w:line="233" w:lineRule="auto"/>
        <w:ind w:left="426"/>
      </w:pPr>
    </w:p>
    <w:p w14:paraId="21BD1725" w14:textId="77777777" w:rsidR="00141C91" w:rsidRPr="007F2EEF" w:rsidRDefault="00141C91" w:rsidP="00A00B1A">
      <w:pPr>
        <w:pStyle w:val="Heading2"/>
        <w:spacing w:line="233" w:lineRule="auto"/>
        <w:ind w:left="426"/>
        <w:rPr>
          <w:i/>
          <w:color w:val="4A7628"/>
          <w:sz w:val="26"/>
          <w:szCs w:val="26"/>
        </w:rPr>
      </w:pPr>
      <w:r w:rsidRPr="007F2EEF">
        <w:rPr>
          <w:i/>
          <w:color w:val="4A7628"/>
          <w:sz w:val="26"/>
          <w:szCs w:val="26"/>
        </w:rPr>
        <w:t>Notice</w:t>
      </w:r>
    </w:p>
    <w:p w14:paraId="6E2DAAB3" w14:textId="77777777" w:rsidR="00141C91" w:rsidRDefault="00141C91" w:rsidP="00A00B1A">
      <w:pPr>
        <w:spacing w:line="233" w:lineRule="auto"/>
        <w:ind w:left="426"/>
      </w:pPr>
    </w:p>
    <w:p w14:paraId="68FA8112" w14:textId="77777777" w:rsidR="00141C91" w:rsidRDefault="00141C91" w:rsidP="00A00B1A">
      <w:pPr>
        <w:spacing w:line="233" w:lineRule="auto"/>
        <w:ind w:left="426"/>
      </w:pPr>
      <w:r>
        <w:t xml:space="preserve">A practitioner from any agency working with the child, young person or adult could be the person to </w:t>
      </w:r>
      <w:r>
        <w:rPr>
          <w:u w:val="single"/>
        </w:rPr>
        <w:t>notice</w:t>
      </w:r>
      <w:r>
        <w:t xml:space="preserve"> that there has been a change in the individual’s behaviour that may suggest they are vulnerable to </w:t>
      </w:r>
      <w:r w:rsidR="00CF109D">
        <w:t>radicalisation</w:t>
      </w:r>
      <w:r>
        <w:t>.</w:t>
      </w:r>
    </w:p>
    <w:p w14:paraId="6D368D0B" w14:textId="77777777" w:rsidR="00FF6B5D" w:rsidRPr="007F2EEF" w:rsidRDefault="00FF6B5D" w:rsidP="00A00B1A">
      <w:pPr>
        <w:spacing w:line="233" w:lineRule="auto"/>
        <w:ind w:left="426"/>
      </w:pPr>
    </w:p>
    <w:p w14:paraId="60CDC259" w14:textId="77777777" w:rsidR="00141C91" w:rsidRPr="007F2EEF" w:rsidRDefault="00141C91" w:rsidP="00A00B1A">
      <w:pPr>
        <w:pStyle w:val="Heading2"/>
        <w:spacing w:line="233" w:lineRule="auto"/>
        <w:ind w:left="426"/>
        <w:rPr>
          <w:i/>
          <w:color w:val="4A7628"/>
          <w:sz w:val="26"/>
          <w:szCs w:val="26"/>
        </w:rPr>
      </w:pPr>
      <w:r w:rsidRPr="007F2EEF">
        <w:rPr>
          <w:i/>
          <w:color w:val="4A7628"/>
          <w:sz w:val="26"/>
          <w:szCs w:val="26"/>
        </w:rPr>
        <w:t>Check</w:t>
      </w:r>
    </w:p>
    <w:p w14:paraId="50A5CB24" w14:textId="77777777" w:rsidR="00141C91" w:rsidRDefault="00141C91" w:rsidP="00A00B1A">
      <w:pPr>
        <w:spacing w:line="233" w:lineRule="auto"/>
        <w:ind w:left="426"/>
      </w:pPr>
    </w:p>
    <w:p w14:paraId="036EF2C2" w14:textId="77777777" w:rsidR="00141C91" w:rsidRDefault="00141C91" w:rsidP="00A00B1A">
      <w:pPr>
        <w:spacing w:line="233" w:lineRule="auto"/>
        <w:ind w:left="426"/>
      </w:pPr>
      <w:r w:rsidRPr="00E3093F">
        <w:t>The next step is for the practitioner to speak to colleagues and/or partners to better understand the concerns raised by the behaviours observed to decide whether intervention and support is needed. In many cases there will be an explanation for the behaviours that either requires no further action or a referral not related to radicalisation or extremism.</w:t>
      </w:r>
    </w:p>
    <w:p w14:paraId="5263A550" w14:textId="77777777" w:rsidR="00141C91" w:rsidRPr="00141C91" w:rsidRDefault="00141C91" w:rsidP="00A00B1A">
      <w:pPr>
        <w:spacing w:line="233" w:lineRule="auto"/>
        <w:ind w:left="426"/>
      </w:pPr>
    </w:p>
    <w:p w14:paraId="53C9C7AD" w14:textId="77777777" w:rsidR="00141C91" w:rsidRPr="007F2EEF" w:rsidRDefault="00141C91" w:rsidP="00A00B1A">
      <w:pPr>
        <w:pStyle w:val="Heading2"/>
        <w:spacing w:line="233" w:lineRule="auto"/>
        <w:ind w:left="426"/>
        <w:rPr>
          <w:i/>
          <w:color w:val="4A7628"/>
          <w:sz w:val="26"/>
          <w:szCs w:val="26"/>
        </w:rPr>
      </w:pPr>
      <w:r w:rsidRPr="007F2EEF">
        <w:rPr>
          <w:i/>
          <w:color w:val="4A7628"/>
          <w:sz w:val="26"/>
          <w:szCs w:val="26"/>
        </w:rPr>
        <w:t>Share</w:t>
      </w:r>
    </w:p>
    <w:p w14:paraId="7EFE1AF9" w14:textId="77777777" w:rsidR="00141C91" w:rsidRDefault="00141C91" w:rsidP="00A00B1A">
      <w:pPr>
        <w:spacing w:line="233" w:lineRule="auto"/>
        <w:ind w:left="426"/>
      </w:pPr>
    </w:p>
    <w:p w14:paraId="755DCE92" w14:textId="77777777" w:rsidR="000052FC" w:rsidRDefault="00141C91" w:rsidP="00A00B1A">
      <w:pPr>
        <w:spacing w:line="233" w:lineRule="auto"/>
        <w:ind w:left="426"/>
      </w:pPr>
      <w:r>
        <w:t xml:space="preserve">Where the practitioner still has concerns that the individual may be vulnerable to </w:t>
      </w:r>
      <w:r w:rsidR="00CF109D">
        <w:t>radicalisation,</w:t>
      </w:r>
      <w:r>
        <w:t xml:space="preserve"> </w:t>
      </w:r>
      <w:r w:rsidR="00F03A5A">
        <w:t xml:space="preserve">follow safeguarding procedures and contact Children’s Advice and Duty Service or Adult Social Services. Following this </w:t>
      </w:r>
      <w:r w:rsidR="003333FD">
        <w:t>the Prevent</w:t>
      </w:r>
      <w:r>
        <w:t xml:space="preserve"> </w:t>
      </w:r>
      <w:hyperlink r:id="rId9" w:history="1">
        <w:r w:rsidRPr="0014740C">
          <w:rPr>
            <w:rStyle w:val="Hyperlink"/>
            <w:color w:val="4A7628" w:themeColor="accent1"/>
          </w:rPr>
          <w:t>referral form</w:t>
        </w:r>
      </w:hyperlink>
      <w:r>
        <w:t xml:space="preserve"> is to be completed and sent to</w:t>
      </w:r>
      <w:r w:rsidR="003333FD" w:rsidRPr="003333FD">
        <w:t xml:space="preserve"> </w:t>
      </w:r>
      <w:hyperlink r:id="rId10" w:history="1">
        <w:r w:rsidR="00517F67" w:rsidRPr="0014740C">
          <w:rPr>
            <w:rStyle w:val="Hyperlink"/>
            <w:color w:val="4A7628" w:themeColor="accent1"/>
          </w:rPr>
          <w:t>preventreferrals@norfolk.pnn.police.uk</w:t>
        </w:r>
      </w:hyperlink>
      <w:r w:rsidR="0014740C">
        <w:t>.</w:t>
      </w:r>
      <w:r>
        <w:t xml:space="preserve"> </w:t>
      </w:r>
      <w:r w:rsidR="003333FD">
        <w:t>A</w:t>
      </w:r>
      <w:r>
        <w:t xml:space="preserve">n initial assessment of the </w:t>
      </w:r>
      <w:r w:rsidR="003333FD">
        <w:t>referral will be carried out</w:t>
      </w:r>
      <w:r>
        <w:t xml:space="preserve"> prior to any further information gathering on the individual. </w:t>
      </w:r>
    </w:p>
    <w:p w14:paraId="2ACAAAA8" w14:textId="77777777" w:rsidR="008C48A2" w:rsidRDefault="008C48A2" w:rsidP="00A00B1A">
      <w:pPr>
        <w:spacing w:line="233" w:lineRule="auto"/>
      </w:pPr>
    </w:p>
    <w:p w14:paraId="3C01ACFF" w14:textId="77777777" w:rsidR="000052FC" w:rsidRDefault="000052FC" w:rsidP="00A00B1A">
      <w:pPr>
        <w:spacing w:line="233" w:lineRule="auto"/>
      </w:pPr>
    </w:p>
    <w:p w14:paraId="275694CB" w14:textId="77777777" w:rsidR="008C48A2" w:rsidRPr="007F2EEF" w:rsidRDefault="008C48A2" w:rsidP="00A00B1A">
      <w:pPr>
        <w:pStyle w:val="Heading2"/>
        <w:numPr>
          <w:ilvl w:val="0"/>
          <w:numId w:val="16"/>
        </w:numPr>
        <w:spacing w:line="233" w:lineRule="auto"/>
        <w:ind w:left="426" w:hanging="426"/>
        <w:rPr>
          <w:color w:val="4A7628"/>
        </w:rPr>
      </w:pPr>
      <w:r w:rsidRPr="007F2EEF">
        <w:rPr>
          <w:color w:val="4A7628"/>
        </w:rPr>
        <w:t>The Referral Process</w:t>
      </w:r>
    </w:p>
    <w:p w14:paraId="3F9707A3" w14:textId="77777777" w:rsidR="008C48A2" w:rsidRPr="008C48A2" w:rsidRDefault="008C48A2" w:rsidP="00A00B1A">
      <w:pPr>
        <w:spacing w:line="233" w:lineRule="auto"/>
        <w:ind w:left="426"/>
      </w:pPr>
    </w:p>
    <w:p w14:paraId="200CD487" w14:textId="77777777" w:rsidR="00141C91" w:rsidRDefault="000052FC" w:rsidP="00A00B1A">
      <w:pPr>
        <w:spacing w:line="233" w:lineRule="auto"/>
        <w:ind w:left="426"/>
      </w:pPr>
      <w:r>
        <w:t>A referral will not continue through the VTR process if:</w:t>
      </w:r>
    </w:p>
    <w:p w14:paraId="2742107E" w14:textId="77777777" w:rsidR="000052FC" w:rsidRDefault="000052FC" w:rsidP="00A00B1A">
      <w:pPr>
        <w:spacing w:line="233" w:lineRule="auto"/>
        <w:ind w:left="426"/>
      </w:pPr>
    </w:p>
    <w:p w14:paraId="2C7F7642" w14:textId="5A919779" w:rsidR="000052FC" w:rsidRPr="007F2EEF" w:rsidRDefault="000052FC" w:rsidP="00A00B1A">
      <w:pPr>
        <w:pStyle w:val="Bullets"/>
        <w:spacing w:line="233" w:lineRule="auto"/>
        <w:ind w:left="852" w:hanging="426"/>
      </w:pPr>
      <w:r w:rsidRPr="007F2EEF">
        <w:t>it is malicious or misguided</w:t>
      </w:r>
      <w:r w:rsidR="0014740C">
        <w:t>;</w:t>
      </w:r>
    </w:p>
    <w:p w14:paraId="30E89C91" w14:textId="1E6CECC1" w:rsidR="000052FC" w:rsidRPr="007F2EEF" w:rsidRDefault="000052FC" w:rsidP="00A00B1A">
      <w:pPr>
        <w:pStyle w:val="Bullets"/>
        <w:spacing w:line="233" w:lineRule="auto"/>
        <w:ind w:left="852" w:hanging="426"/>
      </w:pPr>
      <w:r w:rsidRPr="007F2EEF">
        <w:t>the person’s engagement with the process would compromise or interfere with ongoing investigations into illegal activity</w:t>
      </w:r>
      <w:r w:rsidR="0014740C">
        <w:t>;</w:t>
      </w:r>
    </w:p>
    <w:p w14:paraId="66CB314D" w14:textId="53C35BE3" w:rsidR="000052FC" w:rsidRPr="007F2EEF" w:rsidRDefault="000052FC" w:rsidP="00A00B1A">
      <w:pPr>
        <w:pStyle w:val="Bullets"/>
        <w:spacing w:line="233" w:lineRule="auto"/>
        <w:ind w:left="852" w:hanging="426"/>
      </w:pPr>
      <w:r w:rsidRPr="007F2EEF">
        <w:t>it is clear the person is not vulnerable to violent extremism</w:t>
      </w:r>
      <w:r w:rsidR="0014740C">
        <w:t>.</w:t>
      </w:r>
    </w:p>
    <w:p w14:paraId="1C2F53E1" w14:textId="77777777" w:rsidR="000052FC" w:rsidRPr="000052FC" w:rsidRDefault="000052FC" w:rsidP="0014740C">
      <w:pPr>
        <w:ind w:left="426"/>
      </w:pPr>
    </w:p>
    <w:p w14:paraId="5EB1B0B5" w14:textId="77777777" w:rsidR="000052FC" w:rsidRPr="000052FC" w:rsidRDefault="000052FC" w:rsidP="0014740C">
      <w:pPr>
        <w:ind w:left="426"/>
        <w:rPr>
          <w:bCs/>
        </w:rPr>
      </w:pPr>
      <w:r w:rsidRPr="000052FC">
        <w:t>Once deconfliction checks have been completed, the referral form will then be emailed to the MASH and multi-agency checks will then be completed.</w:t>
      </w:r>
    </w:p>
    <w:p w14:paraId="61D50504" w14:textId="77777777" w:rsidR="000052FC" w:rsidRDefault="000052FC" w:rsidP="0014740C">
      <w:pPr>
        <w:ind w:left="426"/>
      </w:pPr>
    </w:p>
    <w:p w14:paraId="442E4E8F" w14:textId="4A872F3E" w:rsidR="00141C91" w:rsidRPr="007F2EEF" w:rsidRDefault="00F03A5A" w:rsidP="0014740C">
      <w:pPr>
        <w:ind w:left="426"/>
        <w:rPr>
          <w:b/>
          <w:color w:val="4A7628"/>
          <w:szCs w:val="22"/>
        </w:rPr>
      </w:pPr>
      <w:r w:rsidRPr="007F2EEF">
        <w:rPr>
          <w:b/>
          <w:color w:val="4A7628"/>
          <w:szCs w:val="22"/>
        </w:rPr>
        <w:t xml:space="preserve">For urgent </w:t>
      </w:r>
      <w:r w:rsidR="0025410B" w:rsidRPr="007F2EEF">
        <w:rPr>
          <w:b/>
          <w:color w:val="4A7628"/>
          <w:szCs w:val="22"/>
        </w:rPr>
        <w:t xml:space="preserve">radicalisation concerns contact Norfolk police </w:t>
      </w:r>
      <w:r w:rsidR="00CF109D" w:rsidRPr="007F2EEF">
        <w:rPr>
          <w:b/>
          <w:color w:val="4A7628"/>
          <w:szCs w:val="22"/>
        </w:rPr>
        <w:t xml:space="preserve">on 101 or, </w:t>
      </w:r>
      <w:r w:rsidR="00F46EA1">
        <w:rPr>
          <w:b/>
          <w:color w:val="4A7628"/>
          <w:szCs w:val="22"/>
        </w:rPr>
        <w:br/>
      </w:r>
      <w:r w:rsidR="00CF109D" w:rsidRPr="007F2EEF">
        <w:rPr>
          <w:b/>
          <w:color w:val="4A7628"/>
          <w:szCs w:val="22"/>
        </w:rPr>
        <w:t>in an emergency, 999</w:t>
      </w:r>
      <w:r w:rsidR="00A00B1A">
        <w:rPr>
          <w:b/>
          <w:color w:val="4A7628"/>
          <w:szCs w:val="22"/>
        </w:rPr>
        <w:t>.</w:t>
      </w:r>
    </w:p>
    <w:p w14:paraId="3F889133" w14:textId="77777777" w:rsidR="000052FC" w:rsidRPr="007F2EEF" w:rsidRDefault="000052FC" w:rsidP="0014740C">
      <w:pPr>
        <w:ind w:left="426"/>
      </w:pPr>
    </w:p>
    <w:p w14:paraId="753735C7" w14:textId="77777777" w:rsidR="000052FC" w:rsidRPr="007F2EEF" w:rsidRDefault="000052FC" w:rsidP="0014740C">
      <w:pPr>
        <w:ind w:left="426"/>
        <w:rPr>
          <w:rFonts w:eastAsia="Times New Roman"/>
          <w:b/>
          <w:bCs/>
          <w:i/>
          <w:color w:val="4A7628"/>
          <w:sz w:val="26"/>
          <w:szCs w:val="26"/>
          <w:lang w:eastAsia="en-GB"/>
        </w:rPr>
      </w:pPr>
      <w:r w:rsidRPr="007F2EEF">
        <w:rPr>
          <w:rFonts w:eastAsia="Times New Roman"/>
          <w:b/>
          <w:bCs/>
          <w:i/>
          <w:color w:val="4A7628"/>
          <w:sz w:val="26"/>
          <w:szCs w:val="26"/>
          <w:lang w:eastAsia="en-GB"/>
        </w:rPr>
        <w:t>The Counter Terrorism (CT) Case Officer</w:t>
      </w:r>
    </w:p>
    <w:p w14:paraId="621714D8" w14:textId="77777777" w:rsidR="000052FC" w:rsidRPr="000052FC" w:rsidRDefault="000052FC" w:rsidP="0014740C">
      <w:pPr>
        <w:ind w:left="426"/>
        <w:rPr>
          <w:rFonts w:eastAsia="Times New Roman"/>
          <w:lang w:eastAsia="en-GB"/>
        </w:rPr>
      </w:pPr>
    </w:p>
    <w:p w14:paraId="2A877E8F" w14:textId="77777777" w:rsidR="000052FC" w:rsidRPr="000052FC" w:rsidRDefault="000052FC" w:rsidP="0014740C">
      <w:pPr>
        <w:ind w:left="426"/>
        <w:rPr>
          <w:rFonts w:eastAsia="Times New Roman"/>
          <w:lang w:eastAsia="en-GB"/>
        </w:rPr>
      </w:pPr>
      <w:r w:rsidRPr="000052FC">
        <w:rPr>
          <w:rFonts w:eastAsia="Times New Roman"/>
          <w:lang w:eastAsia="en-GB"/>
        </w:rPr>
        <w:t xml:space="preserve">On receipt of a referral the </w:t>
      </w:r>
      <w:bookmarkStart w:id="1" w:name="_Hlk3285168"/>
      <w:r w:rsidRPr="000052FC">
        <w:rPr>
          <w:rFonts w:eastAsia="Times New Roman"/>
          <w:lang w:eastAsia="en-GB"/>
        </w:rPr>
        <w:t xml:space="preserve">CT Case Officer </w:t>
      </w:r>
      <w:bookmarkEnd w:id="1"/>
      <w:r w:rsidRPr="000052FC">
        <w:rPr>
          <w:rFonts w:eastAsia="Times New Roman"/>
          <w:lang w:eastAsia="en-GB"/>
        </w:rPr>
        <w:t xml:space="preserve">will conduct a review of the information received. This review will be based on a professional judgement </w:t>
      </w:r>
      <w:r>
        <w:rPr>
          <w:rFonts w:eastAsia="Times New Roman"/>
          <w:lang w:eastAsia="en-GB"/>
        </w:rPr>
        <w:t xml:space="preserve">using a vulnerability assessment framework </w:t>
      </w:r>
      <w:r w:rsidRPr="000052FC">
        <w:rPr>
          <w:rFonts w:eastAsia="Times New Roman"/>
          <w:lang w:eastAsia="en-GB"/>
        </w:rPr>
        <w:t xml:space="preserve">to ensure the referral meets the necessary threshold. </w:t>
      </w:r>
    </w:p>
    <w:p w14:paraId="2B0EF07E" w14:textId="77777777" w:rsidR="000052FC" w:rsidRPr="000052FC" w:rsidRDefault="000052FC" w:rsidP="0014740C">
      <w:pPr>
        <w:ind w:left="426"/>
        <w:rPr>
          <w:rFonts w:eastAsia="Times New Roman"/>
          <w:lang w:eastAsia="en-GB"/>
        </w:rPr>
      </w:pPr>
    </w:p>
    <w:p w14:paraId="772CE29E" w14:textId="77777777" w:rsidR="000052FC" w:rsidRPr="000052FC" w:rsidRDefault="000052FC" w:rsidP="0014740C">
      <w:pPr>
        <w:ind w:left="426"/>
        <w:rPr>
          <w:rFonts w:eastAsia="Times New Roman"/>
          <w:lang w:eastAsia="en-GB"/>
        </w:rPr>
      </w:pPr>
      <w:r w:rsidRPr="000052FC">
        <w:rPr>
          <w:rFonts w:eastAsia="Times New Roman"/>
          <w:lang w:eastAsia="en-GB"/>
        </w:rPr>
        <w:t xml:space="preserve">In applying the threshold test the individual circumstances associated with the referral must be taken into account and there must be </w:t>
      </w:r>
      <w:r>
        <w:rPr>
          <w:rFonts w:eastAsia="Times New Roman"/>
          <w:lang w:eastAsia="en-GB"/>
        </w:rPr>
        <w:t>a vulnerability to r</w:t>
      </w:r>
      <w:r w:rsidRPr="000052FC">
        <w:rPr>
          <w:rFonts w:eastAsia="Times New Roman"/>
          <w:lang w:eastAsia="en-GB"/>
        </w:rPr>
        <w:t>adicalisation</w:t>
      </w:r>
      <w:r>
        <w:rPr>
          <w:rFonts w:eastAsia="Times New Roman"/>
          <w:lang w:eastAsia="en-GB"/>
        </w:rPr>
        <w:t>.</w:t>
      </w:r>
    </w:p>
    <w:p w14:paraId="0FFEC73B" w14:textId="77777777" w:rsidR="000052FC" w:rsidRPr="000052FC" w:rsidRDefault="000052FC" w:rsidP="0014740C">
      <w:pPr>
        <w:ind w:left="426"/>
        <w:rPr>
          <w:rFonts w:eastAsia="Times New Roman"/>
          <w:lang w:eastAsia="en-GB"/>
        </w:rPr>
      </w:pPr>
    </w:p>
    <w:p w14:paraId="3C2DD16A" w14:textId="77777777" w:rsidR="000052FC" w:rsidRPr="000052FC" w:rsidRDefault="000052FC" w:rsidP="0014740C">
      <w:pPr>
        <w:ind w:left="426"/>
        <w:rPr>
          <w:rFonts w:eastAsia="Times New Roman"/>
          <w:bCs/>
          <w:lang w:eastAsia="en-GB"/>
        </w:rPr>
      </w:pPr>
      <w:r w:rsidRPr="000052FC">
        <w:rPr>
          <w:rFonts w:eastAsia="Times New Roman"/>
          <w:lang w:eastAsia="en-GB"/>
        </w:rPr>
        <w:t>If this is not present the case should not be managed under Channel and should immediately exit the process. Where it is apparent that the person referred has vulnerabilities not linked to radicalisation and has needs that require support through other mechanisms they should be referred to the appropriate service providers and other safeguarding measures should be considered.</w:t>
      </w:r>
    </w:p>
    <w:p w14:paraId="44C7A513" w14:textId="77777777" w:rsidR="000052FC" w:rsidRPr="000052FC" w:rsidRDefault="000052FC" w:rsidP="0014740C">
      <w:pPr>
        <w:ind w:left="426"/>
        <w:rPr>
          <w:rFonts w:eastAsia="Times New Roman"/>
          <w:bCs/>
          <w:lang w:eastAsia="en-GB"/>
        </w:rPr>
      </w:pPr>
    </w:p>
    <w:p w14:paraId="3A14B460" w14:textId="77777777" w:rsidR="000052FC" w:rsidRPr="0014740C" w:rsidRDefault="000052FC" w:rsidP="0014740C">
      <w:pPr>
        <w:ind w:left="426"/>
        <w:rPr>
          <w:rFonts w:eastAsia="Times New Roman"/>
          <w:lang w:eastAsia="en-GB"/>
        </w:rPr>
      </w:pPr>
      <w:r w:rsidRPr="000052FC">
        <w:rPr>
          <w:rFonts w:eastAsia="Times New Roman"/>
          <w:bCs/>
          <w:lang w:eastAsia="en-GB"/>
        </w:rPr>
        <w:t>If the criteria are met the CT Case Office</w:t>
      </w:r>
      <w:r>
        <w:rPr>
          <w:rFonts w:eastAsia="Times New Roman"/>
          <w:bCs/>
          <w:lang w:eastAsia="en-GB"/>
        </w:rPr>
        <w:t>r</w:t>
      </w:r>
      <w:r w:rsidRPr="000052FC">
        <w:rPr>
          <w:rFonts w:eastAsia="Times New Roman"/>
          <w:bCs/>
          <w:lang w:eastAsia="en-GB"/>
        </w:rPr>
        <w:t xml:space="preserve"> m</w:t>
      </w:r>
      <w:r w:rsidRPr="000052FC">
        <w:rPr>
          <w:rFonts w:eastAsia="Times New Roman"/>
          <w:lang w:eastAsia="en-GB"/>
        </w:rPr>
        <w:t>akes an assessment</w:t>
      </w:r>
      <w:r w:rsidRPr="000052FC">
        <w:rPr>
          <w:rFonts w:eastAsia="Times New Roman"/>
          <w:spacing w:val="34"/>
          <w:lang w:eastAsia="en-GB"/>
        </w:rPr>
        <w:t xml:space="preserve"> </w:t>
      </w:r>
      <w:r w:rsidRPr="000052FC">
        <w:rPr>
          <w:rFonts w:eastAsia="Times New Roman"/>
          <w:lang w:eastAsia="en-GB"/>
        </w:rPr>
        <w:t>of</w:t>
      </w:r>
      <w:r w:rsidRPr="000052FC">
        <w:rPr>
          <w:rFonts w:eastAsia="Times New Roman"/>
          <w:spacing w:val="7"/>
          <w:lang w:eastAsia="en-GB"/>
        </w:rPr>
        <w:t xml:space="preserve"> </w:t>
      </w:r>
      <w:r w:rsidRPr="000052FC">
        <w:rPr>
          <w:rFonts w:eastAsia="Times New Roman"/>
          <w:lang w:eastAsia="en-GB"/>
        </w:rPr>
        <w:t>t</w:t>
      </w:r>
      <w:r w:rsidRPr="000052FC">
        <w:rPr>
          <w:rFonts w:eastAsia="Times New Roman"/>
          <w:spacing w:val="-1"/>
          <w:lang w:eastAsia="en-GB"/>
        </w:rPr>
        <w:t>h</w:t>
      </w:r>
      <w:r w:rsidRPr="000052FC">
        <w:rPr>
          <w:rFonts w:eastAsia="Times New Roman"/>
          <w:lang w:eastAsia="en-GB"/>
        </w:rPr>
        <w:t>e</w:t>
      </w:r>
      <w:r w:rsidRPr="000052FC">
        <w:rPr>
          <w:rFonts w:eastAsia="Times New Roman"/>
          <w:spacing w:val="10"/>
          <w:lang w:eastAsia="en-GB"/>
        </w:rPr>
        <w:t xml:space="preserve"> </w:t>
      </w:r>
      <w:r w:rsidRPr="000052FC">
        <w:rPr>
          <w:rFonts w:eastAsia="Times New Roman"/>
          <w:lang w:eastAsia="en-GB"/>
        </w:rPr>
        <w:t>r</w:t>
      </w:r>
      <w:r w:rsidRPr="000052FC">
        <w:rPr>
          <w:rFonts w:eastAsia="Times New Roman"/>
          <w:spacing w:val="-2"/>
          <w:lang w:eastAsia="en-GB"/>
        </w:rPr>
        <w:t>i</w:t>
      </w:r>
      <w:r w:rsidRPr="000052FC">
        <w:rPr>
          <w:rFonts w:eastAsia="Times New Roman"/>
          <w:lang w:eastAsia="en-GB"/>
        </w:rPr>
        <w:t>sk</w:t>
      </w:r>
      <w:r w:rsidRPr="000052FC">
        <w:rPr>
          <w:rFonts w:eastAsia="Times New Roman"/>
          <w:spacing w:val="11"/>
          <w:lang w:eastAsia="en-GB"/>
        </w:rPr>
        <w:t xml:space="preserve"> </w:t>
      </w:r>
      <w:r w:rsidRPr="000052FC">
        <w:rPr>
          <w:rFonts w:eastAsia="Times New Roman"/>
          <w:w w:val="103"/>
          <w:lang w:eastAsia="en-GB"/>
        </w:rPr>
        <w:t>factors. Risk assessment is a continuous process from the point of referral to the point an individual exits the process.</w:t>
      </w:r>
    </w:p>
    <w:p w14:paraId="4758A4FC" w14:textId="77777777" w:rsidR="000052FC" w:rsidRPr="000052FC" w:rsidRDefault="000052FC" w:rsidP="0014740C">
      <w:pPr>
        <w:ind w:left="426"/>
        <w:rPr>
          <w:rFonts w:eastAsia="Times New Roman"/>
          <w:lang w:eastAsia="en-GB"/>
        </w:rPr>
      </w:pPr>
    </w:p>
    <w:p w14:paraId="2EBE36C8" w14:textId="08A90104" w:rsidR="000052FC" w:rsidRPr="007F2EEF" w:rsidRDefault="000052FC" w:rsidP="0014740C">
      <w:pPr>
        <w:ind w:left="426"/>
        <w:rPr>
          <w:rFonts w:eastAsia="Times New Roman"/>
          <w:b/>
          <w:bCs/>
          <w:i/>
          <w:color w:val="4A7628"/>
          <w:sz w:val="26"/>
          <w:szCs w:val="26"/>
          <w:lang w:eastAsia="en-GB"/>
        </w:rPr>
      </w:pPr>
      <w:r w:rsidRPr="007F2EEF">
        <w:rPr>
          <w:rFonts w:eastAsia="Times New Roman"/>
          <w:b/>
          <w:bCs/>
          <w:i/>
          <w:color w:val="4A7628"/>
          <w:sz w:val="26"/>
          <w:szCs w:val="26"/>
          <w:lang w:eastAsia="en-GB"/>
        </w:rPr>
        <w:t>Information Gathering</w:t>
      </w:r>
    </w:p>
    <w:p w14:paraId="52486B53" w14:textId="77777777" w:rsidR="000052FC" w:rsidRPr="007F2EEF" w:rsidRDefault="000052FC" w:rsidP="0014740C">
      <w:pPr>
        <w:ind w:left="426"/>
      </w:pPr>
    </w:p>
    <w:p w14:paraId="3F4A32BB" w14:textId="77777777" w:rsidR="000052FC" w:rsidRPr="000052FC" w:rsidRDefault="000052FC" w:rsidP="0014740C">
      <w:pPr>
        <w:ind w:left="426"/>
        <w:rPr>
          <w:rFonts w:eastAsia="Times New Roman"/>
          <w:lang w:eastAsia="en-GB"/>
        </w:rPr>
      </w:pPr>
      <w:r w:rsidRPr="000052FC">
        <w:rPr>
          <w:rFonts w:eastAsia="Times New Roman"/>
          <w:lang w:eastAsia="en-GB"/>
        </w:rPr>
        <w:t xml:space="preserve">The CT Case Officer will liaise with the referrer and partner agencies who are working with the individual. This initial information gathering ensures that only cases appropriate for the Channel process continue to the next stage for a </w:t>
      </w:r>
      <w:r w:rsidR="009E3467" w:rsidRPr="009E3467">
        <w:rPr>
          <w:rFonts w:eastAsia="Times New Roman"/>
          <w:lang w:eastAsia="en-GB"/>
        </w:rPr>
        <w:t>Channel Panel</w:t>
      </w:r>
      <w:r w:rsidRPr="000052FC">
        <w:rPr>
          <w:rFonts w:eastAsia="Times New Roman"/>
          <w:lang w:eastAsia="en-GB"/>
        </w:rPr>
        <w:t xml:space="preserve"> meeting and the development of an appropriate support package</w:t>
      </w:r>
      <w:r w:rsidRPr="000052FC">
        <w:rPr>
          <w:rFonts w:eastAsia="Times New Roman"/>
          <w:i/>
          <w:lang w:eastAsia="en-GB"/>
        </w:rPr>
        <w:t>.</w:t>
      </w:r>
    </w:p>
    <w:p w14:paraId="1C891923" w14:textId="77777777" w:rsidR="000052FC" w:rsidRPr="007F2EEF" w:rsidRDefault="000052FC" w:rsidP="0014740C"/>
    <w:p w14:paraId="52960817" w14:textId="77777777" w:rsidR="004032B7" w:rsidRPr="004032B7" w:rsidRDefault="004032B7" w:rsidP="0014740C"/>
    <w:p w14:paraId="60C132EB" w14:textId="77777777" w:rsidR="00141C91" w:rsidRPr="007F2EEF" w:rsidRDefault="00141C91" w:rsidP="0014740C">
      <w:pPr>
        <w:pStyle w:val="Heading2"/>
        <w:numPr>
          <w:ilvl w:val="0"/>
          <w:numId w:val="16"/>
        </w:numPr>
        <w:ind w:left="426" w:hanging="426"/>
        <w:rPr>
          <w:color w:val="4A7628"/>
        </w:rPr>
      </w:pPr>
      <w:r w:rsidRPr="007F2EEF">
        <w:rPr>
          <w:color w:val="4A7628"/>
        </w:rPr>
        <w:t>Channel</w:t>
      </w:r>
      <w:r w:rsidR="009E3467" w:rsidRPr="007F2EEF">
        <w:rPr>
          <w:color w:val="4A7628"/>
        </w:rPr>
        <w:t xml:space="preserve"> Panel</w:t>
      </w:r>
    </w:p>
    <w:p w14:paraId="6ECB5608" w14:textId="77777777" w:rsidR="00141C91" w:rsidRDefault="00141C91" w:rsidP="0014740C">
      <w:pPr>
        <w:ind w:left="426"/>
        <w:rPr>
          <w:szCs w:val="22"/>
        </w:rPr>
      </w:pPr>
    </w:p>
    <w:p w14:paraId="09B069FE" w14:textId="77777777" w:rsidR="009E3467" w:rsidRPr="00CD5165" w:rsidRDefault="009E3467" w:rsidP="0014740C">
      <w:pPr>
        <w:ind w:left="426"/>
        <w:rPr>
          <w:szCs w:val="22"/>
        </w:rPr>
      </w:pPr>
      <w:r w:rsidRPr="009E3467">
        <w:rPr>
          <w:szCs w:val="22"/>
        </w:rPr>
        <w:t xml:space="preserve">Following confirmation that the case is appropriate to continue through the VTR process, the referral </w:t>
      </w:r>
      <w:r>
        <w:rPr>
          <w:szCs w:val="22"/>
        </w:rPr>
        <w:t>will</w:t>
      </w:r>
      <w:r w:rsidRPr="009E3467">
        <w:rPr>
          <w:szCs w:val="22"/>
        </w:rPr>
        <w:t xml:space="preserve"> proceed to a Cha</w:t>
      </w:r>
      <w:r>
        <w:rPr>
          <w:szCs w:val="22"/>
        </w:rPr>
        <w:t>n</w:t>
      </w:r>
      <w:r w:rsidRPr="009E3467">
        <w:rPr>
          <w:szCs w:val="22"/>
        </w:rPr>
        <w:t>nel Panel meeting which will include the involvement of a wider range of partners.</w:t>
      </w:r>
      <w:r>
        <w:rPr>
          <w:szCs w:val="22"/>
        </w:rPr>
        <w:t xml:space="preserve"> The Channel Panel is multi-agency and</w:t>
      </w:r>
      <w:r w:rsidRPr="00CD5165">
        <w:rPr>
          <w:szCs w:val="22"/>
        </w:rPr>
        <w:t xml:space="preserve"> provides support to those who may </w:t>
      </w:r>
      <w:r>
        <w:rPr>
          <w:szCs w:val="22"/>
        </w:rPr>
        <w:t>be vulnerable to being drawn in</w:t>
      </w:r>
      <w:r w:rsidRPr="00CD5165">
        <w:rPr>
          <w:szCs w:val="22"/>
        </w:rPr>
        <w:t>to terrorism. Channel uses existing collaboration between partners to support individuals and protect them from being drawn into terrorism.</w:t>
      </w:r>
    </w:p>
    <w:p w14:paraId="4FDEFD21" w14:textId="77777777" w:rsidR="009E3467" w:rsidRPr="009E3467" w:rsidRDefault="009E3467" w:rsidP="0014740C">
      <w:pPr>
        <w:ind w:left="426"/>
        <w:rPr>
          <w:szCs w:val="22"/>
        </w:rPr>
      </w:pPr>
    </w:p>
    <w:p w14:paraId="38A1BC3F" w14:textId="77777777" w:rsidR="009E3467" w:rsidRPr="009E3467" w:rsidRDefault="009E3467" w:rsidP="0014740C">
      <w:pPr>
        <w:ind w:left="426"/>
        <w:rPr>
          <w:szCs w:val="22"/>
        </w:rPr>
      </w:pPr>
      <w:r w:rsidRPr="009E3467">
        <w:rPr>
          <w:szCs w:val="22"/>
        </w:rPr>
        <w:t xml:space="preserve">The Channel Panel meets every month and is chaired by a Local Authority lead supported by the CT Case Officer. </w:t>
      </w:r>
      <w:r w:rsidR="00AB407D">
        <w:rPr>
          <w:szCs w:val="22"/>
        </w:rPr>
        <w:t>The person</w:t>
      </w:r>
      <w:r w:rsidR="00C62023" w:rsidRPr="00C62023">
        <w:rPr>
          <w:szCs w:val="22"/>
        </w:rPr>
        <w:t xml:space="preserve"> who completed the </w:t>
      </w:r>
      <w:r w:rsidR="00154E62">
        <w:rPr>
          <w:szCs w:val="22"/>
        </w:rPr>
        <w:t>referral</w:t>
      </w:r>
      <w:r w:rsidR="00C62023" w:rsidRPr="00C62023">
        <w:rPr>
          <w:szCs w:val="22"/>
        </w:rPr>
        <w:t xml:space="preserve"> may be asked to attend a Channel meeting to help Panel members understand more about the referred </w:t>
      </w:r>
      <w:r w:rsidR="00AB407D">
        <w:rPr>
          <w:szCs w:val="22"/>
        </w:rPr>
        <w:t xml:space="preserve">individual </w:t>
      </w:r>
      <w:r w:rsidR="00C62023" w:rsidRPr="00C62023">
        <w:rPr>
          <w:szCs w:val="22"/>
        </w:rPr>
        <w:t>and their circumstances</w:t>
      </w:r>
      <w:r w:rsidR="00AB407D">
        <w:rPr>
          <w:szCs w:val="22"/>
        </w:rPr>
        <w:t>.</w:t>
      </w:r>
    </w:p>
    <w:p w14:paraId="2FBF8DE3" w14:textId="77777777" w:rsidR="009E3467" w:rsidRPr="009E3467" w:rsidRDefault="009E3467" w:rsidP="0014740C">
      <w:pPr>
        <w:ind w:left="426"/>
        <w:rPr>
          <w:szCs w:val="22"/>
        </w:rPr>
      </w:pPr>
    </w:p>
    <w:p w14:paraId="62B2FE80" w14:textId="77777777" w:rsidR="00F46EA1" w:rsidRDefault="00F46EA1" w:rsidP="0014740C">
      <w:pPr>
        <w:spacing w:after="160" w:line="259" w:lineRule="auto"/>
        <w:rPr>
          <w:szCs w:val="22"/>
        </w:rPr>
      </w:pPr>
      <w:r>
        <w:rPr>
          <w:szCs w:val="22"/>
        </w:rPr>
        <w:br w:type="page"/>
      </w:r>
    </w:p>
    <w:p w14:paraId="07DA67D2" w14:textId="569898FE" w:rsidR="009E3467" w:rsidRDefault="009E3467" w:rsidP="0014740C">
      <w:pPr>
        <w:ind w:left="426"/>
        <w:rPr>
          <w:szCs w:val="22"/>
        </w:rPr>
      </w:pPr>
      <w:r w:rsidRPr="009E3467">
        <w:rPr>
          <w:szCs w:val="22"/>
        </w:rPr>
        <w:lastRenderedPageBreak/>
        <w:t>If the consensus is that support is required, partners will develop a support package based on the risk assessment, the needs of the individual and any risks posed to potential support providers. This will take the form of an action plan setting out details of the partners who will lead on the delivery of the support.</w:t>
      </w:r>
    </w:p>
    <w:p w14:paraId="60CD854E" w14:textId="77777777" w:rsidR="009E3467" w:rsidRPr="009E3467" w:rsidRDefault="009E3467" w:rsidP="0014740C">
      <w:pPr>
        <w:ind w:left="426"/>
        <w:rPr>
          <w:szCs w:val="22"/>
        </w:rPr>
      </w:pPr>
    </w:p>
    <w:p w14:paraId="477FED02" w14:textId="77777777" w:rsidR="009E3467" w:rsidRPr="009E3467" w:rsidRDefault="009E3467" w:rsidP="0014740C">
      <w:pPr>
        <w:ind w:left="426"/>
        <w:rPr>
          <w:szCs w:val="22"/>
        </w:rPr>
      </w:pPr>
      <w:r w:rsidRPr="009E3467">
        <w:rPr>
          <w:szCs w:val="22"/>
        </w:rPr>
        <w:t>In assessing referrals, the meeting may conclude that the individual is better suited to alternative support providers, or that further assessment indicates that the individual is not being drawn into violent extremism.</w:t>
      </w:r>
    </w:p>
    <w:p w14:paraId="11B4403E" w14:textId="77777777" w:rsidR="009E3467" w:rsidRPr="009E3467" w:rsidRDefault="009E3467" w:rsidP="0014740C">
      <w:pPr>
        <w:ind w:left="426"/>
        <w:rPr>
          <w:szCs w:val="22"/>
        </w:rPr>
      </w:pPr>
    </w:p>
    <w:p w14:paraId="4B114E2F" w14:textId="77777777" w:rsidR="00141C91" w:rsidRDefault="009E3467" w:rsidP="0014740C">
      <w:pPr>
        <w:ind w:left="426"/>
        <w:rPr>
          <w:szCs w:val="22"/>
        </w:rPr>
      </w:pPr>
      <w:r w:rsidRPr="009E3467">
        <w:rPr>
          <w:szCs w:val="22"/>
        </w:rPr>
        <w:t>One option for support through the Channel process which the Channel Panel may decide upon is the use of an ‘Intervention provider’. This is Home Office funded and uses providers on an approved list to work with individuals around their individual ideologies. The work of an Intervention provider will complement the work of other partners inv</w:t>
      </w:r>
      <w:r>
        <w:rPr>
          <w:szCs w:val="22"/>
        </w:rPr>
        <w:t xml:space="preserve">olved in the support package. </w:t>
      </w:r>
      <w:r w:rsidR="00141C91" w:rsidRPr="00CD5165">
        <w:rPr>
          <w:szCs w:val="22"/>
        </w:rPr>
        <w:t>Examples of support provided could include mentoring, diversionary activities such as sport, signposting to mainstream services such as education, employment or housing.</w:t>
      </w:r>
    </w:p>
    <w:p w14:paraId="71F13BBC" w14:textId="77777777" w:rsidR="00141C91" w:rsidRDefault="00141C91" w:rsidP="0014740C">
      <w:pPr>
        <w:ind w:left="426"/>
        <w:rPr>
          <w:szCs w:val="22"/>
        </w:rPr>
      </w:pPr>
    </w:p>
    <w:p w14:paraId="4E8D9342" w14:textId="77777777" w:rsidR="004032B7" w:rsidRPr="00F46EA1" w:rsidRDefault="004032B7" w:rsidP="0014740C">
      <w:pPr>
        <w:ind w:left="426"/>
        <w:rPr>
          <w:b/>
          <w:i/>
          <w:color w:val="4A7628"/>
          <w:sz w:val="26"/>
          <w:szCs w:val="26"/>
        </w:rPr>
      </w:pPr>
      <w:r w:rsidRPr="00F46EA1">
        <w:rPr>
          <w:b/>
          <w:i/>
          <w:color w:val="4A7628"/>
          <w:sz w:val="26"/>
          <w:szCs w:val="26"/>
        </w:rPr>
        <w:t>Appraisal and Review</w:t>
      </w:r>
    </w:p>
    <w:p w14:paraId="28571D79" w14:textId="77777777" w:rsidR="004032B7" w:rsidRPr="004032B7" w:rsidRDefault="004032B7" w:rsidP="0014740C">
      <w:pPr>
        <w:ind w:left="426"/>
        <w:rPr>
          <w:szCs w:val="22"/>
        </w:rPr>
      </w:pPr>
    </w:p>
    <w:p w14:paraId="31128446" w14:textId="24BA4213" w:rsidR="00141C91" w:rsidRDefault="004032B7" w:rsidP="0014740C">
      <w:pPr>
        <w:ind w:left="426"/>
        <w:rPr>
          <w:szCs w:val="22"/>
        </w:rPr>
      </w:pPr>
      <w:r w:rsidRPr="004032B7">
        <w:rPr>
          <w:szCs w:val="22"/>
        </w:rPr>
        <w:t xml:space="preserve">The Channel Panel will, on a monthly basis, review the support, risks and needs to decide whether the individual </w:t>
      </w:r>
      <w:r>
        <w:rPr>
          <w:szCs w:val="22"/>
        </w:rPr>
        <w:t xml:space="preserve">should remain on the programme. </w:t>
      </w:r>
      <w:r w:rsidRPr="004032B7">
        <w:rPr>
          <w:szCs w:val="22"/>
        </w:rPr>
        <w:t>If the Panel is satisfied that the risk has been succe</w:t>
      </w:r>
      <w:r>
        <w:rPr>
          <w:szCs w:val="22"/>
        </w:rPr>
        <w:t xml:space="preserve">ssfully reduced or managed </w:t>
      </w:r>
      <w:r w:rsidRPr="004032B7">
        <w:rPr>
          <w:szCs w:val="22"/>
        </w:rPr>
        <w:t>the case exits the process.</w:t>
      </w:r>
    </w:p>
    <w:p w14:paraId="2E6938B0" w14:textId="77777777" w:rsidR="00141C91" w:rsidRDefault="00141C91" w:rsidP="0014740C">
      <w:pPr>
        <w:ind w:left="426"/>
      </w:pPr>
    </w:p>
    <w:p w14:paraId="15B087D0" w14:textId="77777777" w:rsidR="004032B7" w:rsidRPr="00F46EA1" w:rsidRDefault="004032B7" w:rsidP="0014740C">
      <w:pPr>
        <w:ind w:left="426"/>
        <w:rPr>
          <w:b/>
          <w:i/>
          <w:color w:val="4A7628"/>
          <w:sz w:val="26"/>
          <w:szCs w:val="26"/>
        </w:rPr>
      </w:pPr>
      <w:r w:rsidRPr="00F46EA1">
        <w:rPr>
          <w:b/>
          <w:i/>
          <w:color w:val="4A7628"/>
          <w:sz w:val="26"/>
          <w:szCs w:val="26"/>
        </w:rPr>
        <w:t>Safeguarding children and Multi-Agency Public Protection Arrangements (MAPPA)</w:t>
      </w:r>
    </w:p>
    <w:p w14:paraId="3057022B" w14:textId="77777777" w:rsidR="004032B7" w:rsidRDefault="004032B7" w:rsidP="0014740C">
      <w:pPr>
        <w:ind w:left="426"/>
        <w:rPr>
          <w:szCs w:val="22"/>
        </w:rPr>
      </w:pPr>
    </w:p>
    <w:p w14:paraId="14FAE9AA" w14:textId="77777777" w:rsidR="004032B7" w:rsidRDefault="004032B7" w:rsidP="0014740C">
      <w:pPr>
        <w:ind w:left="426"/>
        <w:rPr>
          <w:szCs w:val="22"/>
        </w:rPr>
      </w:pPr>
      <w:r>
        <w:rPr>
          <w:szCs w:val="22"/>
        </w:rPr>
        <w:t>In some cases it may not be appropriate for an individual to continue through the Channel process because they are involved in a different statutory mechanism such as ‘MAPPA’ or child protection arrangements. Channel is not intended to replace those referral systems; in such cases ownership will rest with the relevant statutory support mechanism and the case may exit the Channel process or work alongside.</w:t>
      </w:r>
    </w:p>
    <w:p w14:paraId="78E2E184" w14:textId="77777777" w:rsidR="004032B7" w:rsidRDefault="004032B7" w:rsidP="0014740C">
      <w:pPr>
        <w:rPr>
          <w:szCs w:val="22"/>
        </w:rPr>
      </w:pPr>
    </w:p>
    <w:p w14:paraId="32F27F16" w14:textId="77777777" w:rsidR="004032B7" w:rsidRDefault="004032B7" w:rsidP="0014740C">
      <w:pPr>
        <w:rPr>
          <w:szCs w:val="22"/>
        </w:rPr>
      </w:pPr>
    </w:p>
    <w:p w14:paraId="1C024BD5" w14:textId="77777777" w:rsidR="004032B7" w:rsidRPr="007F2EEF" w:rsidRDefault="004032B7" w:rsidP="0014740C">
      <w:pPr>
        <w:pStyle w:val="Heading2"/>
        <w:numPr>
          <w:ilvl w:val="0"/>
          <w:numId w:val="16"/>
        </w:numPr>
        <w:ind w:left="426" w:hanging="426"/>
        <w:rPr>
          <w:color w:val="4A7628"/>
        </w:rPr>
      </w:pPr>
      <w:r w:rsidRPr="007F2EEF">
        <w:rPr>
          <w:color w:val="4A7628"/>
        </w:rPr>
        <w:t>Sharing Information</w:t>
      </w:r>
    </w:p>
    <w:p w14:paraId="1F23DFE1" w14:textId="77777777" w:rsidR="004032B7" w:rsidRDefault="004032B7" w:rsidP="0014740C">
      <w:pPr>
        <w:ind w:left="426"/>
      </w:pPr>
    </w:p>
    <w:p w14:paraId="3E5088BD" w14:textId="188594C4" w:rsidR="004032B7" w:rsidRDefault="004032B7" w:rsidP="0014740C">
      <w:pPr>
        <w:ind w:left="426"/>
      </w:pPr>
      <w:r>
        <w:t>In choosing to share information, a key question for partners to help them provide a proportionate response is, does that partner hold any information that could make the individual more vulnerable to radicalisation.</w:t>
      </w:r>
    </w:p>
    <w:p w14:paraId="329A97DF" w14:textId="77777777" w:rsidR="004032B7" w:rsidRDefault="004032B7" w:rsidP="0014740C">
      <w:pPr>
        <w:ind w:left="426"/>
      </w:pPr>
    </w:p>
    <w:p w14:paraId="6FC11E59" w14:textId="77777777" w:rsidR="004032B7" w:rsidRDefault="004032B7" w:rsidP="0014740C">
      <w:pPr>
        <w:ind w:left="426"/>
      </w:pPr>
      <w:r>
        <w:t>The following principles should guide information sharing:</w:t>
      </w:r>
    </w:p>
    <w:p w14:paraId="5EB64274" w14:textId="77777777" w:rsidR="004032B7" w:rsidRDefault="004032B7" w:rsidP="0014740C">
      <w:pPr>
        <w:ind w:left="426"/>
      </w:pPr>
    </w:p>
    <w:p w14:paraId="11203B61" w14:textId="77777777" w:rsidR="004032B7" w:rsidRDefault="004032B7" w:rsidP="0014740C">
      <w:pPr>
        <w:ind w:left="426"/>
      </w:pPr>
      <w:r w:rsidRPr="00F46EA1">
        <w:rPr>
          <w:b/>
          <w:color w:val="4A7628"/>
        </w:rPr>
        <w:t>Power to Share</w:t>
      </w:r>
      <w:r w:rsidRPr="00F46EA1">
        <w:rPr>
          <w:color w:val="4A7628"/>
        </w:rPr>
        <w:t xml:space="preserve"> </w:t>
      </w:r>
      <w:r w:rsidR="00F46EA1">
        <w:t>–</w:t>
      </w:r>
      <w:r>
        <w:t xml:space="preserve"> the sharing of data by public sector bodies requires the existence of a power to do so. This may be a statutory power relevant to the agency’s statutory function, or an implied power based on the agency’s common law function. The power may exist under specific legislation and may be different for each agency depending on their function. It is the responsibility of each agency to consider whether in this particular case the sharing of personal information is consistent with their powers and function as a public sector body.</w:t>
      </w:r>
    </w:p>
    <w:p w14:paraId="1C92A68C" w14:textId="77777777" w:rsidR="004032B7" w:rsidRDefault="004032B7" w:rsidP="0014740C">
      <w:pPr>
        <w:ind w:left="426"/>
      </w:pPr>
    </w:p>
    <w:p w14:paraId="410C0613" w14:textId="57A8F014" w:rsidR="004032B7" w:rsidRDefault="004032B7" w:rsidP="0014740C">
      <w:pPr>
        <w:ind w:left="426"/>
      </w:pPr>
      <w:r w:rsidRPr="00F46EA1">
        <w:rPr>
          <w:b/>
          <w:color w:val="4A7628"/>
        </w:rPr>
        <w:lastRenderedPageBreak/>
        <w:t xml:space="preserve">Governing legislation </w:t>
      </w:r>
      <w:r>
        <w:t>– for all bodies sharing personal information (private, voluntary or public sector) it is necessary to satisfy the requirements of the Data Protection Act, the Human Rights Act and the Common Law Duty of Confidentiality.</w:t>
      </w:r>
    </w:p>
    <w:p w14:paraId="0551F01B" w14:textId="77777777" w:rsidR="004032B7" w:rsidRDefault="004032B7" w:rsidP="0014740C">
      <w:pPr>
        <w:ind w:left="426"/>
      </w:pPr>
    </w:p>
    <w:p w14:paraId="3374F02F" w14:textId="77777777" w:rsidR="004032B7" w:rsidRDefault="004032B7" w:rsidP="0014740C">
      <w:pPr>
        <w:ind w:left="426"/>
      </w:pPr>
      <w:r w:rsidRPr="00F46EA1">
        <w:rPr>
          <w:b/>
          <w:color w:val="4A7628"/>
        </w:rPr>
        <w:t xml:space="preserve">Consent </w:t>
      </w:r>
      <w:r>
        <w:t xml:space="preserve">– Before any agency/group seeks consent from the person of concern this must be discussed at both the preliminary assessment and Channel Panel stages and a decision made on whether consent is to be sought and by whom. Obtaining consent can in itself prejudice the purpose </w:t>
      </w:r>
      <w:r w:rsidR="008358A9">
        <w:t xml:space="preserve">of the </w:t>
      </w:r>
      <w:r w:rsidR="008C48A2">
        <w:t>Channel</w:t>
      </w:r>
      <w:r>
        <w:t xml:space="preserve"> process and considerations must be taken before any agency seeks consent.</w:t>
      </w:r>
    </w:p>
    <w:p w14:paraId="282F13A4" w14:textId="77777777" w:rsidR="004032B7" w:rsidRDefault="004032B7" w:rsidP="0014740C">
      <w:pPr>
        <w:ind w:left="426"/>
      </w:pPr>
    </w:p>
    <w:p w14:paraId="311148E1" w14:textId="77777777" w:rsidR="004032B7" w:rsidRDefault="004032B7" w:rsidP="0014740C">
      <w:pPr>
        <w:ind w:left="426"/>
      </w:pPr>
      <w:r w:rsidRPr="00F46EA1">
        <w:rPr>
          <w:b/>
          <w:color w:val="4A7628"/>
        </w:rPr>
        <w:t>Other Gateways</w:t>
      </w:r>
      <w:r w:rsidRPr="00F46EA1">
        <w:rPr>
          <w:color w:val="4A7628"/>
        </w:rPr>
        <w:t xml:space="preserve"> </w:t>
      </w:r>
      <w:r w:rsidR="00F46EA1">
        <w:t>–</w:t>
      </w:r>
      <w:r>
        <w:t xml:space="preserve"> </w:t>
      </w:r>
      <w:r w:rsidR="00F46EA1">
        <w:t>i</w:t>
      </w:r>
      <w:r>
        <w:t>n the absence of consent it is necessary to identify an exemption or a relevant condition for processing under the Data Protection Act. Where a body owes a duty of confidentiality and (in the case of public bodies) must consider the Human Rights Act, it is necessary to determine that the level of public interest overrides the expectation of privacy.</w:t>
      </w:r>
    </w:p>
    <w:p w14:paraId="7F25B275" w14:textId="77777777" w:rsidR="004032B7" w:rsidRDefault="004032B7" w:rsidP="0014740C">
      <w:pPr>
        <w:ind w:left="426"/>
      </w:pPr>
    </w:p>
    <w:p w14:paraId="643C20B9" w14:textId="77777777" w:rsidR="004032B7" w:rsidRDefault="004032B7" w:rsidP="0014740C">
      <w:pPr>
        <w:ind w:left="426"/>
      </w:pPr>
      <w:r w:rsidRPr="00F46EA1">
        <w:rPr>
          <w:b/>
          <w:color w:val="4A7628"/>
        </w:rPr>
        <w:t>Necessity, relevance and proportionality</w:t>
      </w:r>
      <w:r w:rsidRPr="00F46EA1">
        <w:rPr>
          <w:color w:val="4A7628"/>
        </w:rPr>
        <w:t xml:space="preserve"> </w:t>
      </w:r>
      <w:r w:rsidR="00F46EA1">
        <w:t>–</w:t>
      </w:r>
      <w:r>
        <w:t xml:space="preserve"> </w:t>
      </w:r>
      <w:r w:rsidR="00F46EA1">
        <w:t>i</w:t>
      </w:r>
      <w:r>
        <w:t>nformation should only be shared where it is necessary to achieve the intended outcome and is relevant and proportionate to it. Information should be selected for sharing on the basis that the agencies involved need to know that information in order to make informed assessment and decisions. Key to determining this will be the professional judgement of the risks to an individual or the public.</w:t>
      </w:r>
    </w:p>
    <w:p w14:paraId="71C03A89" w14:textId="77777777" w:rsidR="004032B7" w:rsidRDefault="004032B7" w:rsidP="0014740C">
      <w:pPr>
        <w:ind w:left="426"/>
      </w:pPr>
    </w:p>
    <w:p w14:paraId="76929818" w14:textId="77777777" w:rsidR="004032B7" w:rsidRDefault="004032B7" w:rsidP="0014740C">
      <w:pPr>
        <w:ind w:left="426"/>
      </w:pPr>
      <w:r w:rsidRPr="00F46EA1">
        <w:rPr>
          <w:b/>
          <w:color w:val="4A7628"/>
        </w:rPr>
        <w:t>Non-discriminatory</w:t>
      </w:r>
      <w:r w:rsidRPr="00F46EA1">
        <w:rPr>
          <w:color w:val="4A7628"/>
        </w:rPr>
        <w:t xml:space="preserve"> </w:t>
      </w:r>
      <w:r>
        <w:t xml:space="preserve">– agencies must be in a position to evidence that their decision to share information as part of a </w:t>
      </w:r>
      <w:r w:rsidR="00154E62">
        <w:t>Prevent r</w:t>
      </w:r>
      <w:r>
        <w:t>eferral is not discriminatory.</w:t>
      </w:r>
    </w:p>
    <w:p w14:paraId="70E1DA82" w14:textId="77777777" w:rsidR="00141C91" w:rsidRDefault="00141C91" w:rsidP="0014740C"/>
    <w:p w14:paraId="2388AEEE" w14:textId="77777777" w:rsidR="004032B7" w:rsidRPr="00141C91" w:rsidRDefault="004032B7" w:rsidP="0014740C"/>
    <w:p w14:paraId="4DABA41F" w14:textId="77777777" w:rsidR="00141C91" w:rsidRPr="007F2EEF" w:rsidRDefault="00CC10DA" w:rsidP="0014740C">
      <w:pPr>
        <w:pStyle w:val="Heading2"/>
        <w:numPr>
          <w:ilvl w:val="0"/>
          <w:numId w:val="16"/>
        </w:numPr>
        <w:ind w:left="426" w:hanging="426"/>
        <w:rPr>
          <w:color w:val="4A7628"/>
        </w:rPr>
      </w:pPr>
      <w:r w:rsidRPr="007F2EEF">
        <w:rPr>
          <w:color w:val="4A7628"/>
        </w:rPr>
        <w:t>Contact Information</w:t>
      </w:r>
    </w:p>
    <w:p w14:paraId="4CC413ED" w14:textId="77777777" w:rsidR="00141C91" w:rsidRDefault="00141C91" w:rsidP="0014740C">
      <w:pPr>
        <w:ind w:left="426"/>
        <w:rPr>
          <w:szCs w:val="22"/>
        </w:rPr>
      </w:pPr>
    </w:p>
    <w:p w14:paraId="193D3CB2" w14:textId="77777777" w:rsidR="0025410B" w:rsidRDefault="00141C91" w:rsidP="0014740C">
      <w:pPr>
        <w:ind w:left="426"/>
        <w:rPr>
          <w:szCs w:val="22"/>
        </w:rPr>
      </w:pPr>
      <w:r>
        <w:rPr>
          <w:szCs w:val="22"/>
        </w:rPr>
        <w:t>For general questions relating to Prevent, contact</w:t>
      </w:r>
      <w:r w:rsidR="0025410B">
        <w:rPr>
          <w:szCs w:val="22"/>
        </w:rPr>
        <w:t>:</w:t>
      </w:r>
    </w:p>
    <w:p w14:paraId="5D4E4B15" w14:textId="77777777" w:rsidR="008358A9" w:rsidRDefault="008358A9" w:rsidP="0014740C">
      <w:pPr>
        <w:ind w:left="426"/>
        <w:rPr>
          <w:szCs w:val="22"/>
        </w:rPr>
      </w:pPr>
    </w:p>
    <w:p w14:paraId="1FA35D57" w14:textId="77777777" w:rsidR="008358A9" w:rsidRPr="00F46EA1" w:rsidRDefault="00FF6B5D" w:rsidP="0014740C">
      <w:pPr>
        <w:pStyle w:val="Bullets"/>
        <w:spacing w:line="235" w:lineRule="auto"/>
        <w:ind w:left="852" w:hanging="426"/>
      </w:pPr>
      <w:r>
        <w:rPr>
          <w:szCs w:val="22"/>
        </w:rPr>
        <w:t xml:space="preserve">Norfolk </w:t>
      </w:r>
      <w:r w:rsidR="00CF109D">
        <w:rPr>
          <w:szCs w:val="22"/>
        </w:rPr>
        <w:t>Counter T</w:t>
      </w:r>
      <w:r w:rsidR="0025410B">
        <w:rPr>
          <w:szCs w:val="22"/>
        </w:rPr>
        <w:t xml:space="preserve">errorism Case Officer </w:t>
      </w:r>
      <w:hyperlink r:id="rId11" w:history="1">
        <w:r w:rsidR="0025410B" w:rsidRPr="00A00B1A">
          <w:rPr>
            <w:rStyle w:val="Hyperlink"/>
            <w:color w:val="4A7628" w:themeColor="accent1"/>
            <w:szCs w:val="22"/>
          </w:rPr>
          <w:t>prevent@norfolk.pnn.police.uk</w:t>
        </w:r>
      </w:hyperlink>
      <w:r w:rsidR="0025410B">
        <w:rPr>
          <w:szCs w:val="22"/>
        </w:rPr>
        <w:t xml:space="preserve"> or, </w:t>
      </w:r>
      <w:r w:rsidR="00F46EA1">
        <w:rPr>
          <w:szCs w:val="22"/>
        </w:rPr>
        <w:br/>
      </w:r>
    </w:p>
    <w:p w14:paraId="59409DFB" w14:textId="43792FA8" w:rsidR="008358A9" w:rsidRPr="00F46EA1" w:rsidRDefault="002D3BC5" w:rsidP="0014740C">
      <w:pPr>
        <w:pStyle w:val="Bullets"/>
        <w:spacing w:line="235" w:lineRule="auto"/>
        <w:ind w:left="852" w:hanging="426"/>
      </w:pPr>
      <w:r>
        <w:rPr>
          <w:szCs w:val="22"/>
        </w:rPr>
        <w:t>Bev Herron</w:t>
      </w:r>
      <w:r w:rsidR="0025410B">
        <w:rPr>
          <w:szCs w:val="22"/>
        </w:rPr>
        <w:t xml:space="preserve"> NCC Prevent </w:t>
      </w:r>
      <w:r w:rsidR="008358A9">
        <w:rPr>
          <w:szCs w:val="22"/>
        </w:rPr>
        <w:t>C</w:t>
      </w:r>
      <w:r w:rsidR="00FF6B5D">
        <w:rPr>
          <w:szCs w:val="22"/>
        </w:rPr>
        <w:t xml:space="preserve">oordinator </w:t>
      </w:r>
      <w:hyperlink r:id="rId12" w:history="1">
        <w:r w:rsidRPr="002D3BC5">
          <w:rPr>
            <w:rStyle w:val="Hyperlink"/>
            <w:color w:val="4A7628" w:themeColor="accent1"/>
            <w:szCs w:val="22"/>
          </w:rPr>
          <w:t>Beverley.herron@norfolk.gov.uk</w:t>
        </w:r>
      </w:hyperlink>
      <w:r w:rsidRPr="002D3BC5">
        <w:rPr>
          <w:color w:val="4A7628" w:themeColor="accent1"/>
          <w:szCs w:val="22"/>
        </w:rPr>
        <w:t xml:space="preserve"> </w:t>
      </w:r>
    </w:p>
    <w:sectPr w:rsidR="008358A9" w:rsidRPr="00F46EA1" w:rsidSect="00410739">
      <w:footerReference w:type="default" r:id="rId13"/>
      <w:headerReference w:type="first" r:id="rId14"/>
      <w:footerReference w:type="first" r:id="rId15"/>
      <w:pgSz w:w="11906" w:h="16838" w:code="9"/>
      <w:pgMar w:top="1418" w:right="1134" w:bottom="1418"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F50C" w14:textId="77777777" w:rsidR="00F51D93" w:rsidRDefault="00F51D93" w:rsidP="007C3F00">
      <w:r>
        <w:separator/>
      </w:r>
    </w:p>
  </w:endnote>
  <w:endnote w:type="continuationSeparator" w:id="0">
    <w:p w14:paraId="2C1C3B11" w14:textId="77777777" w:rsidR="00F51D93" w:rsidRDefault="00F51D93"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5"/>
      <w:gridCol w:w="1704"/>
      <w:gridCol w:w="1962"/>
      <w:gridCol w:w="1436"/>
    </w:tblGrid>
    <w:tr w:rsidR="00A00B1A" w:rsidRPr="0014740C" w14:paraId="6BB0D6E1" w14:textId="77777777" w:rsidTr="00D1074E">
      <w:trPr>
        <w:trHeight w:val="40"/>
      </w:trPr>
      <w:tc>
        <w:tcPr>
          <w:tcW w:w="882" w:type="pct"/>
          <w:tcBorders>
            <w:top w:val="single" w:sz="12" w:space="0" w:color="15284B"/>
            <w:bottom w:val="nil"/>
          </w:tcBorders>
          <w:tcMar>
            <w:top w:w="0" w:type="dxa"/>
            <w:left w:w="108" w:type="dxa"/>
            <w:bottom w:w="0" w:type="dxa"/>
            <w:right w:w="0" w:type="dxa"/>
          </w:tcMar>
          <w:hideMark/>
        </w:tcPr>
        <w:p w14:paraId="11D6A086" w14:textId="77777777" w:rsidR="00A00B1A" w:rsidRPr="0014740C" w:rsidRDefault="00A00B1A" w:rsidP="00A00B1A">
          <w:pPr>
            <w:rPr>
              <w:b/>
              <w:color w:val="4A7628"/>
              <w:sz w:val="18"/>
              <w:szCs w:val="18"/>
              <w:lang w:eastAsia="en-GB"/>
            </w:rPr>
          </w:pPr>
          <w:r w:rsidRPr="0014740C">
            <w:rPr>
              <w:b/>
              <w:color w:val="4A7628"/>
              <w:sz w:val="18"/>
              <w:szCs w:val="18"/>
              <w:lang w:eastAsia="en-GB"/>
            </w:rPr>
            <w:t>Document owner:</w:t>
          </w:r>
        </w:p>
      </w:tc>
      <w:tc>
        <w:tcPr>
          <w:tcW w:w="1471" w:type="pct"/>
          <w:tcBorders>
            <w:top w:val="single" w:sz="12" w:space="0" w:color="15284B"/>
            <w:bottom w:val="nil"/>
          </w:tcBorders>
          <w:hideMark/>
        </w:tcPr>
        <w:p w14:paraId="71D8E1C9" w14:textId="77777777" w:rsidR="00A00B1A" w:rsidRPr="0014740C" w:rsidRDefault="00A00B1A" w:rsidP="00A00B1A">
          <w:pPr>
            <w:tabs>
              <w:tab w:val="center" w:pos="4513"/>
              <w:tab w:val="right" w:pos="9026"/>
            </w:tabs>
            <w:outlineLvl w:val="3"/>
            <w:rPr>
              <w:sz w:val="18"/>
              <w:szCs w:val="18"/>
              <w:lang w:eastAsia="en-GB"/>
            </w:rPr>
          </w:pPr>
          <w:r w:rsidRPr="0014740C">
            <w:rPr>
              <w:sz w:val="18"/>
              <w:szCs w:val="18"/>
              <w:lang w:eastAsia="en-GB"/>
            </w:rPr>
            <w:t>Julie Wiltshire</w:t>
          </w:r>
        </w:p>
      </w:tc>
      <w:tc>
        <w:tcPr>
          <w:tcW w:w="884" w:type="pct"/>
          <w:tcBorders>
            <w:top w:val="single" w:sz="12" w:space="0" w:color="15284B"/>
            <w:bottom w:val="nil"/>
          </w:tcBorders>
          <w:vAlign w:val="bottom"/>
        </w:tcPr>
        <w:p w14:paraId="285AC333" w14:textId="77777777" w:rsidR="00A00B1A" w:rsidRPr="0014740C" w:rsidRDefault="00A00B1A" w:rsidP="00A00B1A">
          <w:pPr>
            <w:rPr>
              <w:rFonts w:ascii="Times New Roman" w:hAnsi="Times New Roman" w:cs="Times New Roman"/>
              <w:sz w:val="18"/>
              <w:szCs w:val="18"/>
              <w:lang w:eastAsia="en-GB"/>
            </w:rPr>
          </w:pPr>
        </w:p>
      </w:tc>
      <w:tc>
        <w:tcPr>
          <w:tcW w:w="1018" w:type="pct"/>
          <w:tcBorders>
            <w:top w:val="single" w:sz="12" w:space="0" w:color="15284B"/>
            <w:bottom w:val="nil"/>
          </w:tcBorders>
          <w:tcMar>
            <w:top w:w="0" w:type="dxa"/>
            <w:left w:w="108" w:type="dxa"/>
            <w:bottom w:w="0" w:type="dxa"/>
            <w:right w:w="0" w:type="dxa"/>
          </w:tcMar>
          <w:hideMark/>
        </w:tcPr>
        <w:p w14:paraId="3CFF33A6" w14:textId="77777777" w:rsidR="00A00B1A" w:rsidRPr="0014740C" w:rsidRDefault="00A00B1A" w:rsidP="00A00B1A">
          <w:pPr>
            <w:rPr>
              <w:b/>
              <w:color w:val="4A7628"/>
              <w:sz w:val="18"/>
              <w:szCs w:val="18"/>
              <w:lang w:eastAsia="en-GB"/>
            </w:rPr>
          </w:pPr>
          <w:r w:rsidRPr="0014740C">
            <w:rPr>
              <w:b/>
              <w:color w:val="4A7628"/>
              <w:sz w:val="18"/>
              <w:szCs w:val="18"/>
              <w:lang w:eastAsia="en-GB"/>
            </w:rPr>
            <w:t>Date created/revised:</w:t>
          </w:r>
        </w:p>
      </w:tc>
      <w:tc>
        <w:tcPr>
          <w:tcW w:w="745" w:type="pct"/>
          <w:tcBorders>
            <w:top w:val="single" w:sz="12" w:space="0" w:color="15284B"/>
            <w:bottom w:val="nil"/>
          </w:tcBorders>
          <w:hideMark/>
        </w:tcPr>
        <w:p w14:paraId="256D4305" w14:textId="6A244BA1" w:rsidR="00A00B1A" w:rsidRPr="0014740C" w:rsidRDefault="002D3BC5" w:rsidP="00A00B1A">
          <w:pPr>
            <w:tabs>
              <w:tab w:val="center" w:pos="4513"/>
              <w:tab w:val="right" w:pos="9026"/>
            </w:tabs>
            <w:outlineLvl w:val="3"/>
            <w:rPr>
              <w:sz w:val="18"/>
              <w:szCs w:val="18"/>
              <w:lang w:eastAsia="en-GB"/>
            </w:rPr>
          </w:pPr>
          <w:r>
            <w:rPr>
              <w:sz w:val="18"/>
              <w:szCs w:val="18"/>
              <w:lang w:eastAsia="en-GB"/>
            </w:rPr>
            <w:t>22/02/2021</w:t>
          </w:r>
        </w:p>
      </w:tc>
    </w:tr>
    <w:tr w:rsidR="00A00B1A" w:rsidRPr="0014740C" w14:paraId="079C9234" w14:textId="77777777" w:rsidTr="00D1074E">
      <w:trPr>
        <w:trHeight w:val="40"/>
      </w:trPr>
      <w:tc>
        <w:tcPr>
          <w:tcW w:w="882" w:type="pct"/>
          <w:tcBorders>
            <w:top w:val="nil"/>
          </w:tcBorders>
          <w:tcMar>
            <w:top w:w="0" w:type="dxa"/>
            <w:left w:w="108" w:type="dxa"/>
            <w:bottom w:w="0" w:type="dxa"/>
            <w:right w:w="0" w:type="dxa"/>
          </w:tcMar>
        </w:tcPr>
        <w:p w14:paraId="7A305B30" w14:textId="77777777" w:rsidR="00A00B1A" w:rsidRPr="0014740C" w:rsidRDefault="00A00B1A" w:rsidP="00A00B1A">
          <w:pPr>
            <w:rPr>
              <w:b/>
              <w:color w:val="4A7628"/>
              <w:sz w:val="18"/>
              <w:szCs w:val="18"/>
              <w:lang w:eastAsia="en-GB"/>
            </w:rPr>
          </w:pPr>
          <w:r w:rsidRPr="0014740C">
            <w:rPr>
              <w:b/>
              <w:color w:val="4A7628"/>
              <w:sz w:val="18"/>
              <w:szCs w:val="18"/>
              <w:lang w:eastAsia="en-GB"/>
            </w:rPr>
            <w:t>ID number:</w:t>
          </w:r>
        </w:p>
      </w:tc>
      <w:tc>
        <w:tcPr>
          <w:tcW w:w="1471" w:type="pct"/>
          <w:tcBorders>
            <w:top w:val="nil"/>
          </w:tcBorders>
        </w:tcPr>
        <w:p w14:paraId="2C273E8B" w14:textId="77777777" w:rsidR="00A00B1A" w:rsidRPr="0014740C" w:rsidRDefault="00A00B1A" w:rsidP="00A00B1A">
          <w:pPr>
            <w:tabs>
              <w:tab w:val="center" w:pos="4513"/>
              <w:tab w:val="right" w:pos="9026"/>
            </w:tabs>
            <w:outlineLvl w:val="3"/>
            <w:rPr>
              <w:sz w:val="18"/>
              <w:szCs w:val="18"/>
              <w:lang w:eastAsia="en-GB"/>
            </w:rPr>
          </w:pPr>
          <w:r w:rsidRPr="00DA0337">
            <w:rPr>
              <w:sz w:val="18"/>
              <w:szCs w:val="18"/>
              <w:lang w:eastAsia="en-GB"/>
            </w:rPr>
            <w:t>CSP000036</w:t>
          </w:r>
        </w:p>
      </w:tc>
      <w:tc>
        <w:tcPr>
          <w:tcW w:w="884" w:type="pct"/>
          <w:tcBorders>
            <w:top w:val="nil"/>
          </w:tcBorders>
          <w:vAlign w:val="bottom"/>
        </w:tcPr>
        <w:p w14:paraId="789728F1" w14:textId="77777777" w:rsidR="00A00B1A" w:rsidRPr="0014740C" w:rsidRDefault="00A00B1A" w:rsidP="00A00B1A">
          <w:pPr>
            <w:rPr>
              <w:rFonts w:ascii="Times New Roman" w:hAnsi="Times New Roman" w:cs="Times New Roman"/>
              <w:sz w:val="18"/>
              <w:szCs w:val="18"/>
              <w:lang w:eastAsia="en-GB"/>
            </w:rPr>
          </w:pPr>
        </w:p>
      </w:tc>
      <w:tc>
        <w:tcPr>
          <w:tcW w:w="1018" w:type="pct"/>
          <w:tcBorders>
            <w:top w:val="nil"/>
          </w:tcBorders>
          <w:tcMar>
            <w:top w:w="0" w:type="dxa"/>
            <w:left w:w="108" w:type="dxa"/>
            <w:bottom w:w="0" w:type="dxa"/>
            <w:right w:w="0" w:type="dxa"/>
          </w:tcMar>
        </w:tcPr>
        <w:p w14:paraId="5A0AAC92" w14:textId="77777777" w:rsidR="00A00B1A" w:rsidRPr="0014740C" w:rsidRDefault="00A00B1A" w:rsidP="00A00B1A">
          <w:pPr>
            <w:rPr>
              <w:b/>
              <w:color w:val="4A7628"/>
              <w:sz w:val="18"/>
              <w:szCs w:val="18"/>
              <w:lang w:eastAsia="en-GB"/>
            </w:rPr>
          </w:pPr>
          <w:r w:rsidRPr="0014740C">
            <w:rPr>
              <w:b/>
              <w:color w:val="4A7628"/>
              <w:sz w:val="18"/>
              <w:szCs w:val="18"/>
              <w:lang w:eastAsia="en-GB"/>
            </w:rPr>
            <w:t>Date last reviewed:</w:t>
          </w:r>
        </w:p>
      </w:tc>
      <w:tc>
        <w:tcPr>
          <w:tcW w:w="745" w:type="pct"/>
          <w:tcBorders>
            <w:top w:val="nil"/>
          </w:tcBorders>
        </w:tcPr>
        <w:p w14:paraId="668B432A" w14:textId="032B228F" w:rsidR="00A00B1A" w:rsidRPr="0014740C" w:rsidRDefault="002D3BC5" w:rsidP="00A00B1A">
          <w:pPr>
            <w:tabs>
              <w:tab w:val="center" w:pos="4513"/>
              <w:tab w:val="right" w:pos="9026"/>
            </w:tabs>
            <w:outlineLvl w:val="3"/>
            <w:rPr>
              <w:sz w:val="18"/>
              <w:szCs w:val="18"/>
              <w:lang w:eastAsia="en-GB"/>
            </w:rPr>
          </w:pPr>
          <w:r>
            <w:rPr>
              <w:sz w:val="18"/>
              <w:szCs w:val="18"/>
              <w:lang w:eastAsia="en-GB"/>
            </w:rPr>
            <w:t>22/02/2021</w:t>
          </w:r>
        </w:p>
      </w:tc>
    </w:tr>
    <w:tr w:rsidR="00A00B1A" w:rsidRPr="0014740C" w14:paraId="371F2E04" w14:textId="77777777" w:rsidTr="00D1074E">
      <w:trPr>
        <w:trHeight w:val="175"/>
      </w:trPr>
      <w:tc>
        <w:tcPr>
          <w:tcW w:w="882" w:type="pct"/>
          <w:tcMar>
            <w:top w:w="0" w:type="dxa"/>
            <w:left w:w="108" w:type="dxa"/>
            <w:bottom w:w="0" w:type="dxa"/>
            <w:right w:w="0" w:type="dxa"/>
          </w:tcMar>
          <w:hideMark/>
        </w:tcPr>
        <w:p w14:paraId="1CA1969B" w14:textId="77777777" w:rsidR="00A00B1A" w:rsidRPr="0014740C" w:rsidRDefault="00A00B1A" w:rsidP="00A00B1A">
          <w:pPr>
            <w:rPr>
              <w:b/>
              <w:color w:val="4A7628"/>
              <w:sz w:val="18"/>
              <w:szCs w:val="18"/>
              <w:lang w:eastAsia="en-GB"/>
            </w:rPr>
          </w:pPr>
          <w:r w:rsidRPr="0014740C">
            <w:rPr>
              <w:b/>
              <w:color w:val="4A7628"/>
              <w:sz w:val="18"/>
              <w:szCs w:val="18"/>
              <w:lang w:eastAsia="en-GB"/>
            </w:rPr>
            <w:t>Version number:</w:t>
          </w:r>
        </w:p>
      </w:tc>
      <w:tc>
        <w:tcPr>
          <w:tcW w:w="1471" w:type="pct"/>
          <w:hideMark/>
        </w:tcPr>
        <w:p w14:paraId="7E1B773F" w14:textId="3A3B77F4" w:rsidR="00A00B1A" w:rsidRPr="0014740C" w:rsidRDefault="002D3BC5" w:rsidP="00A00B1A">
          <w:pPr>
            <w:tabs>
              <w:tab w:val="center" w:pos="4513"/>
              <w:tab w:val="right" w:pos="9026"/>
            </w:tabs>
            <w:outlineLvl w:val="3"/>
            <w:rPr>
              <w:sz w:val="18"/>
              <w:szCs w:val="18"/>
              <w:lang w:eastAsia="en-GB"/>
            </w:rPr>
          </w:pPr>
          <w:r>
            <w:rPr>
              <w:sz w:val="18"/>
              <w:szCs w:val="18"/>
              <w:lang w:eastAsia="en-GB"/>
            </w:rPr>
            <w:t>6</w:t>
          </w:r>
        </w:p>
      </w:tc>
      <w:tc>
        <w:tcPr>
          <w:tcW w:w="884" w:type="pct"/>
          <w:vAlign w:val="bottom"/>
        </w:tcPr>
        <w:p w14:paraId="7EBA9BE7" w14:textId="77777777" w:rsidR="00A00B1A" w:rsidRPr="0014740C" w:rsidRDefault="00A00B1A" w:rsidP="00A00B1A">
          <w:pPr>
            <w:rPr>
              <w:sz w:val="18"/>
              <w:szCs w:val="18"/>
              <w:lang w:eastAsia="en-GB"/>
            </w:rPr>
          </w:pPr>
          <w:r w:rsidRPr="0014740C">
            <w:rPr>
              <w:sz w:val="18"/>
              <w:szCs w:val="18"/>
              <w:lang w:eastAsia="en-GB"/>
            </w:rPr>
            <w:fldChar w:fldCharType="begin"/>
          </w:r>
          <w:r w:rsidRPr="0014740C">
            <w:rPr>
              <w:sz w:val="18"/>
              <w:szCs w:val="18"/>
              <w:lang w:eastAsia="en-GB"/>
            </w:rPr>
            <w:instrText xml:space="preserve"> PAGE   \* MERGEFORMAT </w:instrText>
          </w:r>
          <w:r w:rsidRPr="0014740C">
            <w:rPr>
              <w:sz w:val="18"/>
              <w:szCs w:val="18"/>
              <w:lang w:eastAsia="en-GB"/>
            </w:rPr>
            <w:fldChar w:fldCharType="separate"/>
          </w:r>
          <w:r w:rsidRPr="0014740C">
            <w:rPr>
              <w:sz w:val="18"/>
              <w:szCs w:val="18"/>
              <w:lang w:eastAsia="en-GB"/>
            </w:rPr>
            <w:t>1</w:t>
          </w:r>
          <w:r w:rsidRPr="0014740C">
            <w:rPr>
              <w:noProof/>
              <w:sz w:val="18"/>
              <w:szCs w:val="18"/>
              <w:lang w:eastAsia="en-GB"/>
            </w:rPr>
            <w:fldChar w:fldCharType="end"/>
          </w:r>
        </w:p>
      </w:tc>
      <w:tc>
        <w:tcPr>
          <w:tcW w:w="1018" w:type="pct"/>
          <w:tcMar>
            <w:top w:w="0" w:type="dxa"/>
            <w:left w:w="108" w:type="dxa"/>
            <w:bottom w:w="0" w:type="dxa"/>
            <w:right w:w="0" w:type="dxa"/>
          </w:tcMar>
          <w:hideMark/>
        </w:tcPr>
        <w:p w14:paraId="57FBDC09" w14:textId="77777777" w:rsidR="00A00B1A" w:rsidRPr="0014740C" w:rsidRDefault="00A00B1A" w:rsidP="00A00B1A">
          <w:pPr>
            <w:rPr>
              <w:b/>
              <w:color w:val="4A7628"/>
              <w:sz w:val="18"/>
              <w:szCs w:val="18"/>
              <w:lang w:eastAsia="en-GB"/>
            </w:rPr>
          </w:pPr>
          <w:r w:rsidRPr="0014740C">
            <w:rPr>
              <w:b/>
              <w:color w:val="4A7628"/>
              <w:sz w:val="18"/>
              <w:szCs w:val="18"/>
              <w:lang w:eastAsia="en-GB"/>
            </w:rPr>
            <w:t>Next review date:</w:t>
          </w:r>
        </w:p>
      </w:tc>
      <w:tc>
        <w:tcPr>
          <w:tcW w:w="745" w:type="pct"/>
          <w:hideMark/>
        </w:tcPr>
        <w:p w14:paraId="74352D7E" w14:textId="2C65497A" w:rsidR="00A00B1A" w:rsidRPr="0014740C" w:rsidRDefault="002D3BC5" w:rsidP="00A00B1A">
          <w:pPr>
            <w:tabs>
              <w:tab w:val="center" w:pos="4513"/>
              <w:tab w:val="right" w:pos="9026"/>
            </w:tabs>
            <w:outlineLvl w:val="3"/>
            <w:rPr>
              <w:sz w:val="18"/>
              <w:szCs w:val="18"/>
              <w:lang w:eastAsia="en-GB"/>
            </w:rPr>
          </w:pPr>
          <w:r>
            <w:rPr>
              <w:sz w:val="18"/>
              <w:szCs w:val="18"/>
              <w:lang w:eastAsia="en-GB"/>
            </w:rPr>
            <w:t>22/02/2022</w:t>
          </w:r>
        </w:p>
      </w:tc>
    </w:tr>
  </w:tbl>
  <w:p w14:paraId="0F10FC49" w14:textId="77777777" w:rsidR="00A00B1A" w:rsidRDefault="00A00B1A" w:rsidP="00EC1E15">
    <w:pPr>
      <w:pStyle w:val="Foo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5"/>
      <w:gridCol w:w="1704"/>
      <w:gridCol w:w="1962"/>
      <w:gridCol w:w="1436"/>
    </w:tblGrid>
    <w:tr w:rsidR="0014740C" w:rsidRPr="0014740C" w14:paraId="595A458F" w14:textId="77777777" w:rsidTr="00D1074E">
      <w:trPr>
        <w:trHeight w:val="40"/>
      </w:trPr>
      <w:tc>
        <w:tcPr>
          <w:tcW w:w="882" w:type="pct"/>
          <w:tcBorders>
            <w:top w:val="single" w:sz="12" w:space="0" w:color="15284B"/>
            <w:bottom w:val="nil"/>
          </w:tcBorders>
          <w:tcMar>
            <w:top w:w="0" w:type="dxa"/>
            <w:left w:w="108" w:type="dxa"/>
            <w:bottom w:w="0" w:type="dxa"/>
            <w:right w:w="0" w:type="dxa"/>
          </w:tcMar>
          <w:hideMark/>
        </w:tcPr>
        <w:p w14:paraId="59BE62FD" w14:textId="77777777" w:rsidR="0014740C" w:rsidRPr="0014740C" w:rsidRDefault="0014740C" w:rsidP="0014740C">
          <w:pPr>
            <w:rPr>
              <w:b/>
              <w:color w:val="4A7628"/>
              <w:sz w:val="18"/>
              <w:szCs w:val="18"/>
              <w:lang w:eastAsia="en-GB"/>
            </w:rPr>
          </w:pPr>
          <w:r w:rsidRPr="0014740C">
            <w:rPr>
              <w:b/>
              <w:color w:val="4A7628"/>
              <w:sz w:val="18"/>
              <w:szCs w:val="18"/>
              <w:lang w:eastAsia="en-GB"/>
            </w:rPr>
            <w:t>Document owner:</w:t>
          </w:r>
        </w:p>
      </w:tc>
      <w:tc>
        <w:tcPr>
          <w:tcW w:w="1471" w:type="pct"/>
          <w:tcBorders>
            <w:top w:val="single" w:sz="12" w:space="0" w:color="15284B"/>
            <w:bottom w:val="nil"/>
          </w:tcBorders>
          <w:hideMark/>
        </w:tcPr>
        <w:p w14:paraId="77E865B0" w14:textId="77777777" w:rsidR="0014740C" w:rsidRPr="0014740C" w:rsidRDefault="0014740C" w:rsidP="0014740C">
          <w:pPr>
            <w:tabs>
              <w:tab w:val="center" w:pos="4513"/>
              <w:tab w:val="right" w:pos="9026"/>
            </w:tabs>
            <w:outlineLvl w:val="3"/>
            <w:rPr>
              <w:sz w:val="18"/>
              <w:szCs w:val="18"/>
              <w:lang w:eastAsia="en-GB"/>
            </w:rPr>
          </w:pPr>
          <w:r w:rsidRPr="0014740C">
            <w:rPr>
              <w:sz w:val="18"/>
              <w:szCs w:val="18"/>
              <w:lang w:eastAsia="en-GB"/>
            </w:rPr>
            <w:t>Julie Wiltshire</w:t>
          </w:r>
        </w:p>
      </w:tc>
      <w:tc>
        <w:tcPr>
          <w:tcW w:w="884" w:type="pct"/>
          <w:tcBorders>
            <w:top w:val="single" w:sz="12" w:space="0" w:color="15284B"/>
            <w:bottom w:val="nil"/>
          </w:tcBorders>
          <w:vAlign w:val="bottom"/>
        </w:tcPr>
        <w:p w14:paraId="299212B7" w14:textId="77777777" w:rsidR="0014740C" w:rsidRPr="0014740C" w:rsidRDefault="0014740C" w:rsidP="0014740C">
          <w:pPr>
            <w:rPr>
              <w:rFonts w:ascii="Times New Roman" w:hAnsi="Times New Roman" w:cs="Times New Roman"/>
              <w:sz w:val="18"/>
              <w:szCs w:val="18"/>
              <w:lang w:eastAsia="en-GB"/>
            </w:rPr>
          </w:pPr>
        </w:p>
      </w:tc>
      <w:tc>
        <w:tcPr>
          <w:tcW w:w="1018" w:type="pct"/>
          <w:tcBorders>
            <w:top w:val="single" w:sz="12" w:space="0" w:color="15284B"/>
            <w:bottom w:val="nil"/>
          </w:tcBorders>
          <w:tcMar>
            <w:top w:w="0" w:type="dxa"/>
            <w:left w:w="108" w:type="dxa"/>
            <w:bottom w:w="0" w:type="dxa"/>
            <w:right w:w="0" w:type="dxa"/>
          </w:tcMar>
          <w:hideMark/>
        </w:tcPr>
        <w:p w14:paraId="63E4C108" w14:textId="77777777" w:rsidR="0014740C" w:rsidRPr="0014740C" w:rsidRDefault="0014740C" w:rsidP="0014740C">
          <w:pPr>
            <w:rPr>
              <w:b/>
              <w:color w:val="4A7628"/>
              <w:sz w:val="18"/>
              <w:szCs w:val="18"/>
              <w:lang w:eastAsia="en-GB"/>
            </w:rPr>
          </w:pPr>
          <w:r w:rsidRPr="0014740C">
            <w:rPr>
              <w:b/>
              <w:color w:val="4A7628"/>
              <w:sz w:val="18"/>
              <w:szCs w:val="18"/>
              <w:lang w:eastAsia="en-GB"/>
            </w:rPr>
            <w:t>Date created/revised:</w:t>
          </w:r>
        </w:p>
      </w:tc>
      <w:tc>
        <w:tcPr>
          <w:tcW w:w="745" w:type="pct"/>
          <w:tcBorders>
            <w:top w:val="single" w:sz="12" w:space="0" w:color="15284B"/>
            <w:bottom w:val="nil"/>
          </w:tcBorders>
          <w:hideMark/>
        </w:tcPr>
        <w:p w14:paraId="59CE45D8" w14:textId="77777777" w:rsidR="0014740C" w:rsidRPr="0014740C" w:rsidRDefault="0014740C" w:rsidP="0014740C">
          <w:pPr>
            <w:tabs>
              <w:tab w:val="center" w:pos="4513"/>
              <w:tab w:val="right" w:pos="9026"/>
            </w:tabs>
            <w:outlineLvl w:val="3"/>
            <w:rPr>
              <w:sz w:val="18"/>
              <w:szCs w:val="18"/>
              <w:lang w:eastAsia="en-GB"/>
            </w:rPr>
          </w:pPr>
          <w:r w:rsidRPr="0014740C">
            <w:rPr>
              <w:sz w:val="18"/>
              <w:szCs w:val="18"/>
              <w:lang w:eastAsia="en-GB"/>
            </w:rPr>
            <w:t>02/03/2020</w:t>
          </w:r>
        </w:p>
      </w:tc>
    </w:tr>
    <w:tr w:rsidR="0014740C" w:rsidRPr="0014740C" w14:paraId="447E2971" w14:textId="77777777" w:rsidTr="00D1074E">
      <w:trPr>
        <w:trHeight w:val="40"/>
      </w:trPr>
      <w:tc>
        <w:tcPr>
          <w:tcW w:w="882" w:type="pct"/>
          <w:tcBorders>
            <w:top w:val="nil"/>
          </w:tcBorders>
          <w:tcMar>
            <w:top w:w="0" w:type="dxa"/>
            <w:left w:w="108" w:type="dxa"/>
            <w:bottom w:w="0" w:type="dxa"/>
            <w:right w:w="0" w:type="dxa"/>
          </w:tcMar>
        </w:tcPr>
        <w:p w14:paraId="772B73D6" w14:textId="77777777" w:rsidR="0014740C" w:rsidRPr="0014740C" w:rsidRDefault="0014740C" w:rsidP="0014740C">
          <w:pPr>
            <w:rPr>
              <w:b/>
              <w:color w:val="4A7628"/>
              <w:sz w:val="18"/>
              <w:szCs w:val="18"/>
              <w:lang w:eastAsia="en-GB"/>
            </w:rPr>
          </w:pPr>
          <w:r w:rsidRPr="0014740C">
            <w:rPr>
              <w:b/>
              <w:color w:val="4A7628"/>
              <w:sz w:val="18"/>
              <w:szCs w:val="18"/>
              <w:lang w:eastAsia="en-GB"/>
            </w:rPr>
            <w:t>ID number:</w:t>
          </w:r>
        </w:p>
      </w:tc>
      <w:tc>
        <w:tcPr>
          <w:tcW w:w="1471" w:type="pct"/>
          <w:tcBorders>
            <w:top w:val="nil"/>
          </w:tcBorders>
        </w:tcPr>
        <w:p w14:paraId="5907C05E" w14:textId="77777777" w:rsidR="0014740C" w:rsidRPr="0014740C" w:rsidRDefault="0014740C" w:rsidP="0014740C">
          <w:pPr>
            <w:tabs>
              <w:tab w:val="center" w:pos="4513"/>
              <w:tab w:val="right" w:pos="9026"/>
            </w:tabs>
            <w:outlineLvl w:val="3"/>
            <w:rPr>
              <w:sz w:val="18"/>
              <w:szCs w:val="18"/>
              <w:lang w:eastAsia="en-GB"/>
            </w:rPr>
          </w:pPr>
          <w:r w:rsidRPr="00DA0337">
            <w:rPr>
              <w:sz w:val="18"/>
              <w:szCs w:val="18"/>
              <w:lang w:eastAsia="en-GB"/>
            </w:rPr>
            <w:t>CSP000036</w:t>
          </w:r>
        </w:p>
      </w:tc>
      <w:tc>
        <w:tcPr>
          <w:tcW w:w="884" w:type="pct"/>
          <w:tcBorders>
            <w:top w:val="nil"/>
          </w:tcBorders>
          <w:vAlign w:val="bottom"/>
        </w:tcPr>
        <w:p w14:paraId="196BB815" w14:textId="77777777" w:rsidR="0014740C" w:rsidRPr="0014740C" w:rsidRDefault="0014740C" w:rsidP="0014740C">
          <w:pPr>
            <w:rPr>
              <w:rFonts w:ascii="Times New Roman" w:hAnsi="Times New Roman" w:cs="Times New Roman"/>
              <w:sz w:val="18"/>
              <w:szCs w:val="18"/>
              <w:lang w:eastAsia="en-GB"/>
            </w:rPr>
          </w:pPr>
        </w:p>
      </w:tc>
      <w:tc>
        <w:tcPr>
          <w:tcW w:w="1018" w:type="pct"/>
          <w:tcBorders>
            <w:top w:val="nil"/>
          </w:tcBorders>
          <w:tcMar>
            <w:top w:w="0" w:type="dxa"/>
            <w:left w:w="108" w:type="dxa"/>
            <w:bottom w:w="0" w:type="dxa"/>
            <w:right w:w="0" w:type="dxa"/>
          </w:tcMar>
        </w:tcPr>
        <w:p w14:paraId="5481C09D" w14:textId="77777777" w:rsidR="0014740C" w:rsidRPr="0014740C" w:rsidRDefault="0014740C" w:rsidP="0014740C">
          <w:pPr>
            <w:rPr>
              <w:b/>
              <w:color w:val="4A7628"/>
              <w:sz w:val="18"/>
              <w:szCs w:val="18"/>
              <w:lang w:eastAsia="en-GB"/>
            </w:rPr>
          </w:pPr>
          <w:r w:rsidRPr="0014740C">
            <w:rPr>
              <w:b/>
              <w:color w:val="4A7628"/>
              <w:sz w:val="18"/>
              <w:szCs w:val="18"/>
              <w:lang w:eastAsia="en-GB"/>
            </w:rPr>
            <w:t>Date last reviewed:</w:t>
          </w:r>
        </w:p>
      </w:tc>
      <w:tc>
        <w:tcPr>
          <w:tcW w:w="745" w:type="pct"/>
          <w:tcBorders>
            <w:top w:val="nil"/>
          </w:tcBorders>
        </w:tcPr>
        <w:p w14:paraId="10C72FB7" w14:textId="77777777" w:rsidR="0014740C" w:rsidRPr="0014740C" w:rsidRDefault="0014740C" w:rsidP="0014740C">
          <w:pPr>
            <w:tabs>
              <w:tab w:val="center" w:pos="4513"/>
              <w:tab w:val="right" w:pos="9026"/>
            </w:tabs>
            <w:outlineLvl w:val="3"/>
            <w:rPr>
              <w:sz w:val="18"/>
              <w:szCs w:val="18"/>
              <w:lang w:eastAsia="en-GB"/>
            </w:rPr>
          </w:pPr>
          <w:r>
            <w:rPr>
              <w:sz w:val="18"/>
              <w:szCs w:val="18"/>
              <w:lang w:eastAsia="en-GB"/>
            </w:rPr>
            <w:t>30/01/2019</w:t>
          </w:r>
        </w:p>
      </w:tc>
    </w:tr>
    <w:tr w:rsidR="0014740C" w:rsidRPr="0014740C" w14:paraId="0B8ABE8F" w14:textId="77777777" w:rsidTr="00D1074E">
      <w:trPr>
        <w:trHeight w:val="175"/>
      </w:trPr>
      <w:tc>
        <w:tcPr>
          <w:tcW w:w="882" w:type="pct"/>
          <w:tcMar>
            <w:top w:w="0" w:type="dxa"/>
            <w:left w:w="108" w:type="dxa"/>
            <w:bottom w:w="0" w:type="dxa"/>
            <w:right w:w="0" w:type="dxa"/>
          </w:tcMar>
          <w:hideMark/>
        </w:tcPr>
        <w:p w14:paraId="3708A31A" w14:textId="77777777" w:rsidR="0014740C" w:rsidRPr="0014740C" w:rsidRDefault="0014740C" w:rsidP="0014740C">
          <w:pPr>
            <w:rPr>
              <w:b/>
              <w:color w:val="4A7628"/>
              <w:sz w:val="18"/>
              <w:szCs w:val="18"/>
              <w:lang w:eastAsia="en-GB"/>
            </w:rPr>
          </w:pPr>
          <w:r w:rsidRPr="0014740C">
            <w:rPr>
              <w:b/>
              <w:color w:val="4A7628"/>
              <w:sz w:val="18"/>
              <w:szCs w:val="18"/>
              <w:lang w:eastAsia="en-GB"/>
            </w:rPr>
            <w:t>Version number:</w:t>
          </w:r>
        </w:p>
      </w:tc>
      <w:tc>
        <w:tcPr>
          <w:tcW w:w="1471" w:type="pct"/>
          <w:hideMark/>
        </w:tcPr>
        <w:p w14:paraId="6165E81F" w14:textId="77777777" w:rsidR="0014740C" w:rsidRPr="0014740C" w:rsidRDefault="0014740C" w:rsidP="0014740C">
          <w:pPr>
            <w:tabs>
              <w:tab w:val="center" w:pos="4513"/>
              <w:tab w:val="right" w:pos="9026"/>
            </w:tabs>
            <w:outlineLvl w:val="3"/>
            <w:rPr>
              <w:sz w:val="18"/>
              <w:szCs w:val="18"/>
              <w:lang w:eastAsia="en-GB"/>
            </w:rPr>
          </w:pPr>
          <w:r>
            <w:rPr>
              <w:sz w:val="18"/>
              <w:szCs w:val="18"/>
              <w:lang w:eastAsia="en-GB"/>
            </w:rPr>
            <w:t>5</w:t>
          </w:r>
        </w:p>
      </w:tc>
      <w:tc>
        <w:tcPr>
          <w:tcW w:w="884" w:type="pct"/>
          <w:vAlign w:val="bottom"/>
        </w:tcPr>
        <w:p w14:paraId="1D86D8A3" w14:textId="77777777" w:rsidR="0014740C" w:rsidRPr="0014740C" w:rsidRDefault="0014740C" w:rsidP="0014740C">
          <w:pPr>
            <w:rPr>
              <w:sz w:val="18"/>
              <w:szCs w:val="18"/>
              <w:lang w:eastAsia="en-GB"/>
            </w:rPr>
          </w:pPr>
          <w:r w:rsidRPr="0014740C">
            <w:rPr>
              <w:sz w:val="18"/>
              <w:szCs w:val="18"/>
              <w:lang w:eastAsia="en-GB"/>
            </w:rPr>
            <w:fldChar w:fldCharType="begin"/>
          </w:r>
          <w:r w:rsidRPr="0014740C">
            <w:rPr>
              <w:sz w:val="18"/>
              <w:szCs w:val="18"/>
              <w:lang w:eastAsia="en-GB"/>
            </w:rPr>
            <w:instrText xml:space="preserve"> PAGE   \* MERGEFORMAT </w:instrText>
          </w:r>
          <w:r w:rsidRPr="0014740C">
            <w:rPr>
              <w:sz w:val="18"/>
              <w:szCs w:val="18"/>
              <w:lang w:eastAsia="en-GB"/>
            </w:rPr>
            <w:fldChar w:fldCharType="separate"/>
          </w:r>
          <w:r w:rsidRPr="0014740C">
            <w:rPr>
              <w:sz w:val="18"/>
              <w:szCs w:val="18"/>
              <w:lang w:eastAsia="en-GB"/>
            </w:rPr>
            <w:t>1</w:t>
          </w:r>
          <w:r w:rsidRPr="0014740C">
            <w:rPr>
              <w:noProof/>
              <w:sz w:val="18"/>
              <w:szCs w:val="18"/>
              <w:lang w:eastAsia="en-GB"/>
            </w:rPr>
            <w:fldChar w:fldCharType="end"/>
          </w:r>
        </w:p>
      </w:tc>
      <w:tc>
        <w:tcPr>
          <w:tcW w:w="1018" w:type="pct"/>
          <w:tcMar>
            <w:top w:w="0" w:type="dxa"/>
            <w:left w:w="108" w:type="dxa"/>
            <w:bottom w:w="0" w:type="dxa"/>
            <w:right w:w="0" w:type="dxa"/>
          </w:tcMar>
          <w:hideMark/>
        </w:tcPr>
        <w:p w14:paraId="5931A3DB" w14:textId="77777777" w:rsidR="0014740C" w:rsidRPr="0014740C" w:rsidRDefault="0014740C" w:rsidP="0014740C">
          <w:pPr>
            <w:rPr>
              <w:b/>
              <w:color w:val="4A7628"/>
              <w:sz w:val="18"/>
              <w:szCs w:val="18"/>
              <w:lang w:eastAsia="en-GB"/>
            </w:rPr>
          </w:pPr>
          <w:r w:rsidRPr="0014740C">
            <w:rPr>
              <w:b/>
              <w:color w:val="4A7628"/>
              <w:sz w:val="18"/>
              <w:szCs w:val="18"/>
              <w:lang w:eastAsia="en-GB"/>
            </w:rPr>
            <w:t>Next review date:</w:t>
          </w:r>
        </w:p>
      </w:tc>
      <w:tc>
        <w:tcPr>
          <w:tcW w:w="745" w:type="pct"/>
          <w:hideMark/>
        </w:tcPr>
        <w:p w14:paraId="6067DCB4" w14:textId="77777777" w:rsidR="0014740C" w:rsidRPr="0014740C" w:rsidRDefault="0014740C" w:rsidP="0014740C">
          <w:pPr>
            <w:tabs>
              <w:tab w:val="center" w:pos="4513"/>
              <w:tab w:val="right" w:pos="9026"/>
            </w:tabs>
            <w:outlineLvl w:val="3"/>
            <w:rPr>
              <w:sz w:val="18"/>
              <w:szCs w:val="18"/>
              <w:lang w:eastAsia="en-GB"/>
            </w:rPr>
          </w:pPr>
          <w:r w:rsidRPr="0014740C">
            <w:rPr>
              <w:sz w:val="18"/>
              <w:szCs w:val="18"/>
              <w:lang w:eastAsia="en-GB"/>
            </w:rPr>
            <w:t>30/01/2021</w:t>
          </w:r>
        </w:p>
      </w:tc>
    </w:tr>
  </w:tbl>
  <w:p w14:paraId="64BD2D44" w14:textId="77777777" w:rsidR="0014740C" w:rsidRDefault="0014740C" w:rsidP="00DA0337">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D9B1" w14:textId="77777777" w:rsidR="00F51D93" w:rsidRDefault="00F51D93" w:rsidP="007C3F00">
      <w:r>
        <w:separator/>
      </w:r>
    </w:p>
  </w:footnote>
  <w:footnote w:type="continuationSeparator" w:id="0">
    <w:p w14:paraId="1F7CEF04" w14:textId="77777777" w:rsidR="00F51D93" w:rsidRDefault="00F51D93" w:rsidP="007C3F00">
      <w:r>
        <w:continuationSeparator/>
      </w:r>
    </w:p>
  </w:footnote>
  <w:footnote w:id="1">
    <w:p w14:paraId="06E5BC5A" w14:textId="77777777" w:rsidR="00773DCA" w:rsidRDefault="00773DCA" w:rsidP="00773DCA">
      <w:pPr>
        <w:pStyle w:val="FootnoteText"/>
      </w:pPr>
      <w:r>
        <w:rPr>
          <w:rStyle w:val="FootnoteReference"/>
        </w:rPr>
        <w:footnoteRef/>
      </w:r>
      <w:r>
        <w:t xml:space="preserve"> under the Terrorism Act 2000 the Home Secretary has the power to proscribe – forbid by law – an organisation believed to be concerned in terrorism.</w:t>
      </w:r>
    </w:p>
    <w:p w14:paraId="36778C35" w14:textId="77777777" w:rsidR="00773DCA" w:rsidRDefault="00773DCA" w:rsidP="00773DCA">
      <w:pPr>
        <w:pStyle w:val="FootnoteText"/>
      </w:pPr>
      <w:r>
        <w:t>The below link gives details of each organisation proscribed by the UK government:</w:t>
      </w:r>
    </w:p>
    <w:p w14:paraId="234A99FC" w14:textId="4AFCAD4F" w:rsidR="00773DCA" w:rsidRDefault="002D3BC5" w:rsidP="00773DCA">
      <w:pPr>
        <w:pStyle w:val="FootnoteText"/>
      </w:pPr>
      <w:hyperlink r:id="rId1" w:history="1">
        <w:r w:rsidR="00F03A5A" w:rsidRPr="0014740C">
          <w:rPr>
            <w:rStyle w:val="Hyperlink"/>
            <w:color w:val="4A7628" w:themeColor="accent1"/>
          </w:rPr>
          <w:t>https://www.gov.uk/government/uploads/system/uploads/attachment_data/file/400902/Proscription-20150123.pdf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2941" w14:textId="77777777" w:rsidR="00410739" w:rsidRDefault="00061C45">
    <w:pPr>
      <w:pStyle w:val="Header"/>
    </w:pPr>
    <w:r>
      <w:rPr>
        <w:noProof/>
      </w:rPr>
      <w:drawing>
        <wp:anchor distT="0" distB="0" distL="114300" distR="114300" simplePos="0" relativeHeight="251660288" behindDoc="0" locked="0" layoutInCell="1" allowOverlap="1" wp14:anchorId="30C3988C" wp14:editId="3F2C473F">
          <wp:simplePos x="0" y="0"/>
          <wp:positionH relativeFrom="margin">
            <wp:align>right</wp:align>
          </wp:positionH>
          <wp:positionV relativeFrom="paragraph">
            <wp:posOffset>-65066</wp:posOffset>
          </wp:positionV>
          <wp:extent cx="1819275" cy="763905"/>
          <wp:effectExtent l="0" t="0" r="9525"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63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ABE39F" wp14:editId="20B6210B">
          <wp:simplePos x="0" y="0"/>
          <wp:positionH relativeFrom="margin">
            <wp:posOffset>2924</wp:posOffset>
          </wp:positionH>
          <wp:positionV relativeFrom="paragraph">
            <wp:posOffset>253970</wp:posOffset>
          </wp:positionV>
          <wp:extent cx="2158365" cy="32321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365" cy="323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2pt;height:48.2pt" o:bullet="t">
        <v:imagedata r:id="rId1" o:title="Orange bullet"/>
      </v:shape>
    </w:pict>
  </w:numPicBullet>
  <w:abstractNum w:abstractNumId="0" w15:restartNumberingAfterBreak="0">
    <w:nsid w:val="20477CB2"/>
    <w:multiLevelType w:val="hybridMultilevel"/>
    <w:tmpl w:val="50009C60"/>
    <w:lvl w:ilvl="0" w:tplc="9B628B38">
      <w:start w:val="1"/>
      <w:numFmt w:val="decimal"/>
      <w:lvlText w:val="%1."/>
      <w:lvlJc w:val="left"/>
      <w:pPr>
        <w:ind w:left="360" w:hanging="360"/>
      </w:pPr>
      <w:rPr>
        <w:rFonts w:ascii="Arial Bold" w:hAnsi="Arial Bold" w:hint="default"/>
        <w:b/>
        <w:i w:val="0"/>
        <w:color w:val="009CD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74147B"/>
    <w:multiLevelType w:val="hybridMultilevel"/>
    <w:tmpl w:val="E03AC3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D5258D"/>
    <w:multiLevelType w:val="hybridMultilevel"/>
    <w:tmpl w:val="1FDEE76C"/>
    <w:lvl w:ilvl="0" w:tplc="BDFE5406">
      <w:start w:val="1"/>
      <w:numFmt w:val="bullet"/>
      <w:pStyle w:val="Bullets"/>
      <w:lvlText w:val=""/>
      <w:lvlJc w:val="left"/>
      <w:pPr>
        <w:ind w:left="360" w:hanging="360"/>
      </w:pPr>
      <w:rPr>
        <w:rFonts w:ascii="Wingdings" w:hAnsi="Wingdings" w:hint="default"/>
        <w:color w:val="4A7628"/>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D26DFD"/>
    <w:multiLevelType w:val="hybridMultilevel"/>
    <w:tmpl w:val="B81A2EE6"/>
    <w:lvl w:ilvl="0" w:tplc="C0AAB0D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433D40"/>
    <w:multiLevelType w:val="hybridMultilevel"/>
    <w:tmpl w:val="0CAA48BE"/>
    <w:lvl w:ilvl="0" w:tplc="99F83E64">
      <w:start w:val="1"/>
      <w:numFmt w:val="bullet"/>
      <w:lvlText w:val=""/>
      <w:lvlJc w:val="left"/>
      <w:pPr>
        <w:ind w:left="360" w:hanging="360"/>
      </w:pPr>
      <w:rPr>
        <w:rFonts w:ascii="Wingdings" w:hAnsi="Wingdings" w:hint="default"/>
        <w:color w:val="009CDA"/>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3138C4"/>
    <w:multiLevelType w:val="hybridMultilevel"/>
    <w:tmpl w:val="D77C3D1A"/>
    <w:lvl w:ilvl="0" w:tplc="FFFFFFFF">
      <w:start w:val="1"/>
      <w:numFmt w:val="bullet"/>
      <w:lvlText w:val=""/>
      <w:lvlJc w:val="left"/>
      <w:pPr>
        <w:ind w:left="720" w:hanging="360"/>
      </w:pPr>
      <w:rPr>
        <w:rFonts w:ascii="Wingdings" w:hAnsi="Wingdings" w:hint="default"/>
        <w:b/>
        <w:i w:val="0"/>
        <w:color w:val="066F8C"/>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A7BB8"/>
    <w:multiLevelType w:val="hybridMultilevel"/>
    <w:tmpl w:val="7C0419F6"/>
    <w:lvl w:ilvl="0" w:tplc="517ECCF0">
      <w:start w:val="1"/>
      <w:numFmt w:val="decimal"/>
      <w:lvlText w:val="%1."/>
      <w:lvlJc w:val="left"/>
      <w:pPr>
        <w:ind w:left="720" w:hanging="360"/>
      </w:pPr>
      <w:rPr>
        <w:b/>
        <w:color w:val="4A76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252AB"/>
    <w:multiLevelType w:val="hybridMultilevel"/>
    <w:tmpl w:val="43C2BA94"/>
    <w:lvl w:ilvl="0" w:tplc="FFFFFFFF">
      <w:start w:val="1"/>
      <w:numFmt w:val="bullet"/>
      <w:lvlText w:val="▪"/>
      <w:lvlJc w:val="left"/>
      <w:pPr>
        <w:tabs>
          <w:tab w:val="num" w:pos="360"/>
        </w:tabs>
        <w:ind w:left="360" w:hanging="360"/>
      </w:pPr>
      <w:rPr>
        <w:rFonts w:ascii="Sylfaen" w:hAnsi="Sylfaen" w:hint="default"/>
        <w:b/>
        <w:i w:val="0"/>
        <w:color w:val="99CC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3A7A58"/>
    <w:multiLevelType w:val="hybridMultilevel"/>
    <w:tmpl w:val="19AC2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 w:numId="10">
    <w:abstractNumId w:val="2"/>
  </w:num>
  <w:num w:numId="11">
    <w:abstractNumId w:val="2"/>
  </w:num>
  <w:num w:numId="12">
    <w:abstractNumId w:val="2"/>
  </w:num>
  <w:num w:numId="13">
    <w:abstractNumId w:val="2"/>
  </w:num>
  <w:num w:numId="14">
    <w:abstractNumId w:val="1"/>
  </w:num>
  <w:num w:numId="15">
    <w:abstractNumId w:val="6"/>
  </w:num>
  <w:num w:numId="16">
    <w:abstractNumId w:val="8"/>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3F"/>
    <w:rsid w:val="000052FC"/>
    <w:rsid w:val="00061C45"/>
    <w:rsid w:val="00096247"/>
    <w:rsid w:val="00097536"/>
    <w:rsid w:val="00141C91"/>
    <w:rsid w:val="0014740C"/>
    <w:rsid w:val="00154BE3"/>
    <w:rsid w:val="00154E62"/>
    <w:rsid w:val="001F708B"/>
    <w:rsid w:val="00215D11"/>
    <w:rsid w:val="0025410B"/>
    <w:rsid w:val="0026310F"/>
    <w:rsid w:val="002D3BC5"/>
    <w:rsid w:val="003333FD"/>
    <w:rsid w:val="004032B7"/>
    <w:rsid w:val="00410739"/>
    <w:rsid w:val="00417B4C"/>
    <w:rsid w:val="00507795"/>
    <w:rsid w:val="00517F67"/>
    <w:rsid w:val="006E2A3A"/>
    <w:rsid w:val="00723E2C"/>
    <w:rsid w:val="00773DCA"/>
    <w:rsid w:val="007C3F00"/>
    <w:rsid w:val="007E73D5"/>
    <w:rsid w:val="007F2EEF"/>
    <w:rsid w:val="008358A9"/>
    <w:rsid w:val="008C48A2"/>
    <w:rsid w:val="008E4A4E"/>
    <w:rsid w:val="009E3467"/>
    <w:rsid w:val="009F5C21"/>
    <w:rsid w:val="00A00B1A"/>
    <w:rsid w:val="00AB407D"/>
    <w:rsid w:val="00AD2872"/>
    <w:rsid w:val="00B5093F"/>
    <w:rsid w:val="00B545A1"/>
    <w:rsid w:val="00C62023"/>
    <w:rsid w:val="00C95BA7"/>
    <w:rsid w:val="00CC10DA"/>
    <w:rsid w:val="00CE3AE6"/>
    <w:rsid w:val="00CF109D"/>
    <w:rsid w:val="00D258D9"/>
    <w:rsid w:val="00D513AE"/>
    <w:rsid w:val="00DA0337"/>
    <w:rsid w:val="00E04905"/>
    <w:rsid w:val="00EC1E15"/>
    <w:rsid w:val="00F03A5A"/>
    <w:rsid w:val="00F46EA1"/>
    <w:rsid w:val="00F51D93"/>
    <w:rsid w:val="00F75AB2"/>
    <w:rsid w:val="00FF65FB"/>
    <w:rsid w:val="00FF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7F42"/>
  <w15:chartTrackingRefBased/>
  <w15:docId w15:val="{C7B48077-42B5-463E-B600-5179A64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9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7C3F00"/>
    <w:pPr>
      <w:keepNext/>
      <w:keepLines/>
      <w:spacing w:before="240"/>
      <w:outlineLvl w:val="0"/>
    </w:pPr>
    <w:rPr>
      <w:rFonts w:eastAsiaTheme="majorEastAsia" w:cstheme="majorBidi"/>
      <w:color w:val="009CDA"/>
      <w:sz w:val="40"/>
      <w:szCs w:val="32"/>
    </w:rPr>
  </w:style>
  <w:style w:type="paragraph" w:styleId="Heading2">
    <w:name w:val="heading 2"/>
    <w:basedOn w:val="Normal"/>
    <w:next w:val="Normal"/>
    <w:link w:val="Heading2Char"/>
    <w:uiPriority w:val="9"/>
    <w:unhideWhenUsed/>
    <w:qFormat/>
    <w:rsid w:val="007C3F00"/>
    <w:pPr>
      <w:outlineLvl w:val="1"/>
    </w:pPr>
    <w:rPr>
      <w:b/>
      <w:color w:val="4B575F"/>
      <w:sz w:val="28"/>
      <w:szCs w:val="28"/>
    </w:rPr>
  </w:style>
  <w:style w:type="paragraph" w:styleId="Heading3">
    <w:name w:val="heading 3"/>
    <w:basedOn w:val="Normal"/>
    <w:next w:val="Normal"/>
    <w:link w:val="Heading3Char"/>
    <w:uiPriority w:val="9"/>
    <w:unhideWhenUsed/>
    <w:qFormat/>
    <w:rsid w:val="007C3F00"/>
    <w:pPr>
      <w:outlineLvl w:val="2"/>
    </w:pPr>
    <w:rPr>
      <w:b/>
      <w:i/>
      <w:color w:val="4B575F"/>
    </w:rPr>
  </w:style>
  <w:style w:type="paragraph" w:styleId="Heading4">
    <w:name w:val="heading 4"/>
    <w:aliases w:val="Footer 2"/>
    <w:basedOn w:val="Footer"/>
    <w:next w:val="Normal"/>
    <w:link w:val="Heading4Char"/>
    <w:autoRedefine/>
    <w:uiPriority w:val="9"/>
    <w:unhideWhenUsed/>
    <w:qFormat/>
    <w:rsid w:val="00EC1E15"/>
    <w:pPr>
      <w:outlineLvl w:val="3"/>
    </w:pPr>
    <w:rPr>
      <w:rFonts w:eastAsia="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3F"/>
    <w:pPr>
      <w:tabs>
        <w:tab w:val="center" w:pos="4513"/>
        <w:tab w:val="right" w:pos="9026"/>
      </w:tabs>
    </w:pPr>
  </w:style>
  <w:style w:type="character" w:customStyle="1" w:styleId="HeaderChar">
    <w:name w:val="Header Char"/>
    <w:basedOn w:val="DefaultParagraphFont"/>
    <w:link w:val="Header"/>
    <w:uiPriority w:val="99"/>
    <w:rsid w:val="00B5093F"/>
    <w:rPr>
      <w:rFonts w:ascii="Arial" w:hAnsi="Arial"/>
    </w:rPr>
  </w:style>
  <w:style w:type="paragraph" w:styleId="Footer">
    <w:name w:val="footer"/>
    <w:basedOn w:val="Normal"/>
    <w:link w:val="FooterChar"/>
    <w:unhideWhenUsed/>
    <w:rsid w:val="00B5093F"/>
    <w:pPr>
      <w:tabs>
        <w:tab w:val="center" w:pos="4513"/>
        <w:tab w:val="right" w:pos="9026"/>
      </w:tabs>
    </w:pPr>
  </w:style>
  <w:style w:type="character" w:customStyle="1" w:styleId="FooterChar">
    <w:name w:val="Footer Char"/>
    <w:basedOn w:val="DefaultParagraphFont"/>
    <w:link w:val="Footer"/>
    <w:rsid w:val="00B5093F"/>
    <w:rPr>
      <w:rFonts w:ascii="Arial" w:hAnsi="Arial"/>
    </w:rPr>
  </w:style>
  <w:style w:type="paragraph" w:styleId="ListParagraph">
    <w:name w:val="List Paragraph"/>
    <w:basedOn w:val="Normal"/>
    <w:uiPriority w:val="34"/>
    <w:qFormat/>
    <w:rsid w:val="00B5093F"/>
    <w:pPr>
      <w:spacing w:after="160" w:line="259" w:lineRule="auto"/>
      <w:ind w:left="720"/>
      <w:contextualSpacing/>
    </w:pPr>
    <w:rPr>
      <w:rFonts w:asciiTheme="minorHAnsi" w:hAnsiTheme="minorHAnsi"/>
    </w:rPr>
  </w:style>
  <w:style w:type="paragraph" w:styleId="NoSpacing">
    <w:name w:val="No Spacing"/>
    <w:aliases w:val="Footer1"/>
    <w:autoRedefine/>
    <w:uiPriority w:val="1"/>
    <w:qFormat/>
    <w:rsid w:val="00EC1E15"/>
    <w:pPr>
      <w:tabs>
        <w:tab w:val="center" w:pos="4513"/>
        <w:tab w:val="right" w:pos="9026"/>
      </w:tabs>
      <w:spacing w:after="0" w:line="240" w:lineRule="auto"/>
    </w:pPr>
    <w:rPr>
      <w:rFonts w:ascii="Arial" w:eastAsia="Times New Roman" w:hAnsi="Arial" w:cs="Arial"/>
      <w:b/>
      <w:color w:val="009CDA"/>
      <w:sz w:val="18"/>
      <w:szCs w:val="18"/>
      <w:lang w:eastAsia="en-GB"/>
    </w:rPr>
  </w:style>
  <w:style w:type="character" w:customStyle="1" w:styleId="Heading1Char">
    <w:name w:val="Heading 1 Char"/>
    <w:basedOn w:val="DefaultParagraphFont"/>
    <w:link w:val="Heading1"/>
    <w:uiPriority w:val="9"/>
    <w:rsid w:val="007C3F00"/>
    <w:rPr>
      <w:rFonts w:ascii="Arial" w:eastAsiaTheme="majorEastAsia" w:hAnsi="Arial" w:cstheme="majorBidi"/>
      <w:color w:val="009CDA"/>
      <w:sz w:val="40"/>
      <w:szCs w:val="32"/>
    </w:rPr>
  </w:style>
  <w:style w:type="table" w:styleId="TableGrid">
    <w:name w:val="Table Grid"/>
    <w:basedOn w:val="TableNormal"/>
    <w:rsid w:val="00B545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3F00"/>
    <w:rPr>
      <w:rFonts w:ascii="Arial" w:hAnsi="Arial" w:cs="Arial"/>
      <w:b/>
      <w:color w:val="4B575F"/>
      <w:sz w:val="28"/>
      <w:szCs w:val="28"/>
    </w:rPr>
  </w:style>
  <w:style w:type="character" w:customStyle="1" w:styleId="Heading3Char">
    <w:name w:val="Heading 3 Char"/>
    <w:basedOn w:val="DefaultParagraphFont"/>
    <w:link w:val="Heading3"/>
    <w:uiPriority w:val="9"/>
    <w:rsid w:val="007C3F00"/>
    <w:rPr>
      <w:rFonts w:ascii="Arial" w:hAnsi="Arial" w:cs="Arial"/>
      <w:b/>
      <w:i/>
      <w:color w:val="4B575F"/>
      <w:sz w:val="24"/>
      <w:szCs w:val="24"/>
    </w:rPr>
  </w:style>
  <w:style w:type="character" w:customStyle="1" w:styleId="BulletsChar">
    <w:name w:val="Bullets Char"/>
    <w:basedOn w:val="DefaultParagraphFont"/>
    <w:link w:val="Bullets"/>
    <w:locked/>
    <w:rsid w:val="007C3F00"/>
    <w:rPr>
      <w:rFonts w:ascii="Arial" w:hAnsi="Arial" w:cs="Arial"/>
      <w:sz w:val="24"/>
      <w:szCs w:val="24"/>
    </w:rPr>
  </w:style>
  <w:style w:type="paragraph" w:customStyle="1" w:styleId="Bullets">
    <w:name w:val="Bullets"/>
    <w:basedOn w:val="ListParagraph"/>
    <w:link w:val="BulletsChar"/>
    <w:qFormat/>
    <w:rsid w:val="007C3F00"/>
    <w:pPr>
      <w:numPr>
        <w:numId w:val="5"/>
      </w:numPr>
      <w:spacing w:after="0" w:line="240" w:lineRule="auto"/>
    </w:pPr>
    <w:rPr>
      <w:rFonts w:ascii="Arial" w:hAnsi="Arial"/>
    </w:rPr>
  </w:style>
  <w:style w:type="character" w:customStyle="1" w:styleId="NumberingChar">
    <w:name w:val="Numbering Char"/>
    <w:basedOn w:val="DefaultParagraphFont"/>
    <w:link w:val="Numbering"/>
    <w:locked/>
    <w:rsid w:val="007C3F00"/>
    <w:rPr>
      <w:rFonts w:ascii="Arial" w:hAnsi="Arial" w:cs="Arial"/>
      <w:sz w:val="24"/>
      <w:szCs w:val="24"/>
    </w:rPr>
  </w:style>
  <w:style w:type="paragraph" w:customStyle="1" w:styleId="Numbering">
    <w:name w:val="Numbering"/>
    <w:basedOn w:val="ListParagraph"/>
    <w:link w:val="NumberingChar"/>
    <w:autoRedefine/>
    <w:qFormat/>
    <w:rsid w:val="007C3F00"/>
    <w:pPr>
      <w:spacing w:after="0" w:line="240" w:lineRule="auto"/>
      <w:ind w:left="0"/>
    </w:pPr>
    <w:rPr>
      <w:rFonts w:ascii="Arial" w:hAnsi="Arial"/>
    </w:rPr>
  </w:style>
  <w:style w:type="paragraph" w:customStyle="1" w:styleId="Header1">
    <w:name w:val="Header1"/>
    <w:basedOn w:val="Header"/>
    <w:link w:val="Header1Char"/>
    <w:autoRedefine/>
    <w:qFormat/>
    <w:rsid w:val="00CC10DA"/>
    <w:pPr>
      <w:jc w:val="right"/>
    </w:pPr>
    <w:rPr>
      <w:rFonts w:cstheme="minorBidi"/>
      <w:noProof/>
      <w:color w:val="00C0D6"/>
      <w:sz w:val="52"/>
      <w:szCs w:val="22"/>
      <w:lang w:eastAsia="en-GB"/>
    </w:rPr>
  </w:style>
  <w:style w:type="character" w:customStyle="1" w:styleId="Header1Char">
    <w:name w:val="Header1 Char"/>
    <w:basedOn w:val="HeaderChar"/>
    <w:link w:val="Header1"/>
    <w:rsid w:val="00CC10DA"/>
    <w:rPr>
      <w:rFonts w:ascii="Arial" w:hAnsi="Arial"/>
      <w:noProof/>
      <w:color w:val="00C0D6"/>
      <w:sz w:val="52"/>
      <w:lang w:eastAsia="en-GB"/>
    </w:rPr>
  </w:style>
  <w:style w:type="character" w:customStyle="1" w:styleId="Heading4Char">
    <w:name w:val="Heading 4 Char"/>
    <w:aliases w:val="Footer 2 Char"/>
    <w:basedOn w:val="DefaultParagraphFont"/>
    <w:link w:val="Heading4"/>
    <w:uiPriority w:val="9"/>
    <w:rsid w:val="00EC1E15"/>
    <w:rPr>
      <w:rFonts w:ascii="Arial" w:eastAsia="Times New Roman" w:hAnsi="Arial" w:cs="Arial"/>
      <w:sz w:val="18"/>
      <w:szCs w:val="18"/>
      <w:lang w:eastAsia="en-GB"/>
    </w:rPr>
  </w:style>
  <w:style w:type="character" w:styleId="Hyperlink">
    <w:name w:val="Hyperlink"/>
    <w:rsid w:val="00141C91"/>
    <w:rPr>
      <w:color w:val="0000FF"/>
      <w:u w:val="single"/>
    </w:rPr>
  </w:style>
  <w:style w:type="paragraph" w:styleId="BodyText2">
    <w:name w:val="Body Text 2"/>
    <w:basedOn w:val="Normal"/>
    <w:link w:val="BodyText2Char"/>
    <w:rsid w:val="00141C91"/>
    <w:rPr>
      <w:rFonts w:eastAsia="Times New Roman" w:cs="Times New Roman"/>
      <w:b/>
      <w:i/>
      <w:sz w:val="22"/>
      <w:lang w:eastAsia="en-GB"/>
    </w:rPr>
  </w:style>
  <w:style w:type="character" w:customStyle="1" w:styleId="BodyText2Char">
    <w:name w:val="Body Text 2 Char"/>
    <w:basedOn w:val="DefaultParagraphFont"/>
    <w:link w:val="BodyText2"/>
    <w:rsid w:val="00141C91"/>
    <w:rPr>
      <w:rFonts w:ascii="Arial" w:eastAsia="Times New Roman" w:hAnsi="Arial" w:cs="Times New Roman"/>
      <w:b/>
      <w:i/>
      <w:szCs w:val="24"/>
      <w:lang w:eastAsia="en-GB"/>
    </w:rPr>
  </w:style>
  <w:style w:type="paragraph" w:styleId="FootnoteText">
    <w:name w:val="footnote text"/>
    <w:basedOn w:val="Normal"/>
    <w:link w:val="FootnoteTextChar"/>
    <w:uiPriority w:val="99"/>
    <w:semiHidden/>
    <w:unhideWhenUsed/>
    <w:rsid w:val="00773DCA"/>
    <w:rPr>
      <w:sz w:val="20"/>
      <w:szCs w:val="20"/>
    </w:rPr>
  </w:style>
  <w:style w:type="character" w:customStyle="1" w:styleId="FootnoteTextChar">
    <w:name w:val="Footnote Text Char"/>
    <w:basedOn w:val="DefaultParagraphFont"/>
    <w:link w:val="FootnoteText"/>
    <w:uiPriority w:val="99"/>
    <w:semiHidden/>
    <w:rsid w:val="00773DCA"/>
    <w:rPr>
      <w:rFonts w:ascii="Arial" w:hAnsi="Arial" w:cs="Arial"/>
      <w:sz w:val="20"/>
      <w:szCs w:val="20"/>
    </w:rPr>
  </w:style>
  <w:style w:type="character" w:styleId="FootnoteReference">
    <w:name w:val="footnote reference"/>
    <w:basedOn w:val="DefaultParagraphFont"/>
    <w:uiPriority w:val="99"/>
    <w:semiHidden/>
    <w:unhideWhenUsed/>
    <w:rsid w:val="00773DCA"/>
    <w:rPr>
      <w:vertAlign w:val="superscript"/>
    </w:rPr>
  </w:style>
  <w:style w:type="character" w:styleId="UnresolvedMention">
    <w:name w:val="Unresolved Mention"/>
    <w:basedOn w:val="DefaultParagraphFont"/>
    <w:uiPriority w:val="99"/>
    <w:semiHidden/>
    <w:unhideWhenUsed/>
    <w:rsid w:val="00F03A5A"/>
    <w:rPr>
      <w:color w:val="808080"/>
      <w:shd w:val="clear" w:color="auto" w:fill="E6E6E6"/>
    </w:rPr>
  </w:style>
  <w:style w:type="character" w:styleId="FollowedHyperlink">
    <w:name w:val="FollowedHyperlink"/>
    <w:basedOn w:val="DefaultParagraphFont"/>
    <w:uiPriority w:val="99"/>
    <w:semiHidden/>
    <w:unhideWhenUsed/>
    <w:rsid w:val="00F03A5A"/>
    <w:rPr>
      <w:color w:val="4A7628" w:themeColor="followedHyperlink"/>
      <w:u w:val="single"/>
    </w:rPr>
  </w:style>
  <w:style w:type="paragraph" w:styleId="BalloonText">
    <w:name w:val="Balloon Text"/>
    <w:basedOn w:val="Normal"/>
    <w:link w:val="BalloonTextChar"/>
    <w:uiPriority w:val="99"/>
    <w:semiHidden/>
    <w:unhideWhenUsed/>
    <w:rsid w:val="00254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701">
      <w:bodyDiv w:val="1"/>
      <w:marLeft w:val="0"/>
      <w:marRight w:val="0"/>
      <w:marTop w:val="0"/>
      <w:marBottom w:val="0"/>
      <w:divBdr>
        <w:top w:val="none" w:sz="0" w:space="0" w:color="auto"/>
        <w:left w:val="none" w:sz="0" w:space="0" w:color="auto"/>
        <w:bottom w:val="none" w:sz="0" w:space="0" w:color="auto"/>
        <w:right w:val="none" w:sz="0" w:space="0" w:color="auto"/>
      </w:divBdr>
    </w:div>
    <w:div w:id="391119003">
      <w:bodyDiv w:val="1"/>
      <w:marLeft w:val="0"/>
      <w:marRight w:val="0"/>
      <w:marTop w:val="0"/>
      <w:marBottom w:val="0"/>
      <w:divBdr>
        <w:top w:val="none" w:sz="0" w:space="0" w:color="auto"/>
        <w:left w:val="none" w:sz="0" w:space="0" w:color="auto"/>
        <w:bottom w:val="none" w:sz="0" w:space="0" w:color="auto"/>
        <w:right w:val="none" w:sz="0" w:space="0" w:color="auto"/>
      </w:divBdr>
    </w:div>
    <w:div w:id="737826141">
      <w:bodyDiv w:val="1"/>
      <w:marLeft w:val="0"/>
      <w:marRight w:val="0"/>
      <w:marTop w:val="0"/>
      <w:marBottom w:val="0"/>
      <w:divBdr>
        <w:top w:val="none" w:sz="0" w:space="0" w:color="auto"/>
        <w:left w:val="none" w:sz="0" w:space="0" w:color="auto"/>
        <w:bottom w:val="none" w:sz="0" w:space="0" w:color="auto"/>
        <w:right w:val="none" w:sz="0" w:space="0" w:color="auto"/>
      </w:divBdr>
    </w:div>
    <w:div w:id="1208490405">
      <w:bodyDiv w:val="1"/>
      <w:marLeft w:val="0"/>
      <w:marRight w:val="0"/>
      <w:marTop w:val="0"/>
      <w:marBottom w:val="0"/>
      <w:divBdr>
        <w:top w:val="none" w:sz="0" w:space="0" w:color="auto"/>
        <w:left w:val="none" w:sz="0" w:space="0" w:color="auto"/>
        <w:bottom w:val="none" w:sz="0" w:space="0" w:color="auto"/>
        <w:right w:val="none" w:sz="0" w:space="0" w:color="auto"/>
      </w:divBdr>
    </w:div>
    <w:div w:id="1637685556">
      <w:bodyDiv w:val="1"/>
      <w:marLeft w:val="0"/>
      <w:marRight w:val="0"/>
      <w:marTop w:val="0"/>
      <w:marBottom w:val="0"/>
      <w:divBdr>
        <w:top w:val="none" w:sz="0" w:space="0" w:color="auto"/>
        <w:left w:val="none" w:sz="0" w:space="0" w:color="auto"/>
        <w:bottom w:val="none" w:sz="0" w:space="0" w:color="auto"/>
        <w:right w:val="none" w:sz="0" w:space="0" w:color="auto"/>
      </w:divBdr>
    </w:div>
    <w:div w:id="19032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i.info/spotting-the-sig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verley.herron@norfolk.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norfolk.pnn.police.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ventreferrals@norfolk.pnn.police.uk" TargetMode="External"/><Relationship Id="rId4" Type="http://schemas.openxmlformats.org/officeDocument/2006/relationships/settings" Target="settings.xml"/><Relationship Id="rId9" Type="http://schemas.openxmlformats.org/officeDocument/2006/relationships/hyperlink" Target="https://intranet.norfolk.gov.uk/-/media/16C795D9E67F462AB4E5D574B1D86AA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00902/Proscription-201501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uidance and forms">
      <a:dk1>
        <a:srgbClr val="15284B"/>
      </a:dk1>
      <a:lt1>
        <a:srgbClr val="FFFFFF"/>
      </a:lt1>
      <a:dk2>
        <a:srgbClr val="1B5833"/>
      </a:dk2>
      <a:lt2>
        <a:srgbClr val="D8EF9C"/>
      </a:lt2>
      <a:accent1>
        <a:srgbClr val="4A7628"/>
      </a:accent1>
      <a:accent2>
        <a:srgbClr val="95C11F"/>
      </a:accent2>
      <a:accent3>
        <a:srgbClr val="1B5833"/>
      </a:accent3>
      <a:accent4>
        <a:srgbClr val="15284B"/>
      </a:accent4>
      <a:accent5>
        <a:srgbClr val="00C0D6"/>
      </a:accent5>
      <a:accent6>
        <a:srgbClr val="FFE700"/>
      </a:accent6>
      <a:hlink>
        <a:srgbClr val="4A7628"/>
      </a:hlink>
      <a:folHlink>
        <a:srgbClr val="4A7628"/>
      </a:folHlink>
    </a:clrScheme>
    <a:fontScheme name="ADR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9E0F-994E-4613-BD8F-F54D9CDC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1493</Words>
  <Characters>8513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VTR - Prevent Norfolk practitioners quick guide - safeguarding individuals vulnerable to radicalisation</dc:title>
  <dc:subject/>
  <dc:creator>Dumas, Beatrice</dc:creator>
  <cp:keywords/>
  <dc:description/>
  <cp:lastModifiedBy>Read, Lynda</cp:lastModifiedBy>
  <cp:revision>2</cp:revision>
  <dcterms:created xsi:type="dcterms:W3CDTF">2021-02-22T15:19:00Z</dcterms:created>
  <dcterms:modified xsi:type="dcterms:W3CDTF">2021-02-22T15:19:00Z</dcterms:modified>
</cp:coreProperties>
</file>